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before="0"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 xml:space="preserve">Информационное сообщение </w:t>
      </w:r>
    </w:p>
    <w:p>
      <w:pPr>
        <w:pStyle w:val="Normal"/>
        <w:spacing w:lineRule="auto" w:line="240" w:before="0" w:after="0"/>
        <w:ind w:firstLine="561" w:left="0" w:right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 xml:space="preserve">о проведении аукциона в электронной форме по продаже </w:t>
      </w:r>
    </w:p>
    <w:p>
      <w:pPr>
        <w:pStyle w:val="Normal"/>
        <w:spacing w:before="0"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высвобождаемого движимого военного имущества № 15</w:t>
      </w:r>
      <w:r>
        <w:rPr>
          <w:rFonts w:eastAsia="Calibri" w:cs="Times New Roman" w:ascii="Times New Roman" w:hAnsi="Times New Roman"/>
          <w:b/>
          <w:color w:val="auto"/>
          <w:kern w:val="0"/>
          <w:sz w:val="24"/>
          <w:szCs w:val="24"/>
          <w:lang w:val="ru-RU" w:eastAsia="en-US" w:bidi="ar-S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W w:w="10203" w:type="dxa"/>
        <w:jc w:val="left"/>
        <w:tblInd w:w="11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4"/>
        <w:gridCol w:w="2607"/>
        <w:gridCol w:w="6972"/>
      </w:tblGrid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№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Наименование сведений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Информация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hanging="624" w:left="624" w:right="62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Наименование государственного органа, принявшего решение об условиях приватизации имущества, реквизиты указанного решения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highlight w:val="none"/>
                <w:shd w:fill="auto" w:val="clear"/>
              </w:rPr>
            </w:pPr>
            <w:r>
              <w:rPr>
                <w:rFonts w:eastAsia="Calibri" w:cs="Times New Roman" w:ascii="Times New Roman" w:hAnsi="Times New Roman"/>
                <w:bCs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 xml:space="preserve">Федеральное казенное учреждение «Дальневосточный центр материально-технического обеспечения Федеральной службы войск национальной гвардии» (на основании Сводного перечня движимого военного имущества, подлежащего реализации по номенклатуре ДТО Росгвардии, подлежащего </w:t>
            </w:r>
            <w:r>
              <w:rPr>
                <w:rFonts w:eastAsia="Times New Roman" w:cs="Times New Roman" w:ascii="Times New Roman" w:hAnsi="Times New Roman"/>
                <w:bCs/>
                <w:color w:val="000000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в 2026 году (</w:t>
            </w:r>
            <w:r>
              <w:rPr>
                <w:rFonts w:eastAsia="Calibri" w:cs="Times New Roman" w:ascii="Times New Roman" w:hAnsi="Times New Roman"/>
                <w:bCs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распоряжения заместителя директора ФС ВНГ РФ – главнокомандующего ВНГ от 07.10.2025 № 24/4419)</w:t>
            </w: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shd w:fill="auto" w:val="clear"/>
                <w:lang w:eastAsia="ru-RU"/>
              </w:rPr>
              <w:t>.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hanging="624" w:left="624" w:right="62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Наименование имущества и иные позволяющие его индивидуализировать сведения (характеристика имущества)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ind w:hanging="0" w:left="0" w:right="-1"/>
              <w:jc w:val="both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  <w:shd w:fill="auto" w:val="clear"/>
              </w:rPr>
              <w:t xml:space="preserve">Высвобождаемое движимое имущество </w:t>
            </w:r>
            <w:r>
              <w:rPr>
                <w:rFonts w:eastAsia="Calibri" w:cs="Times New Roman" w:ascii="Times New Roman" w:hAnsi="Times New Roman"/>
                <w:b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вещевой</w:t>
            </w:r>
            <w:r>
              <w:rPr>
                <w:rFonts w:eastAsia="Calibri" w:cs="Times New Roman" w:ascii="Times New Roman" w:hAnsi="Times New Roman"/>
                <w:b/>
                <w:sz w:val="24"/>
                <w:szCs w:val="24"/>
                <w:shd w:fill="auto" w:val="clear"/>
              </w:rPr>
              <w:t xml:space="preserve"> службы.</w:t>
            </w:r>
          </w:p>
          <w:p>
            <w:pPr>
              <w:pStyle w:val="Normal"/>
              <w:spacing w:lineRule="auto" w:line="240" w:before="0" w:after="0"/>
              <w:ind w:hanging="0" w:left="0" w:right="-1"/>
              <w:jc w:val="both"/>
              <w:rPr>
                <w:highlight w:val="none"/>
                <w:shd w:fill="auto" w:val="clear"/>
              </w:rPr>
            </w:pPr>
            <w:r>
              <w:rPr>
                <w:rFonts w:eastAsia="Arial Unicode MS" w:cs="Times New Roman" w:ascii="Times New Roman" w:hAnsi="Times New Roman"/>
                <w:color w:val="000000"/>
                <w:sz w:val="24"/>
                <w:szCs w:val="24"/>
                <w:shd w:fill="auto" w:val="clear"/>
              </w:rPr>
              <w:t>Перечень и характеристика имущества указаны в Приложении № 1 к настоящему Информационному сообщению.</w:t>
            </w:r>
          </w:p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Arial Unicode MS" w:cs="Times New Roman" w:ascii="Times New Roman" w:hAnsi="Times New Roman"/>
                <w:color w:val="000000"/>
                <w:sz w:val="22"/>
                <w:szCs w:val="22"/>
                <w:shd w:fill="auto" w:val="clear"/>
              </w:rPr>
              <w:t xml:space="preserve">Местонахождение </w:t>
            </w:r>
            <w:r>
              <w:rPr>
                <w:rFonts w:cs="Times New Roman" w:ascii="Times New Roman" w:hAnsi="Times New Roman"/>
                <w:sz w:val="22"/>
                <w:szCs w:val="22"/>
                <w:shd w:fill="auto" w:val="clear"/>
              </w:rPr>
              <w:t>имущества</w:t>
            </w:r>
            <w:r>
              <w:rPr>
                <w:rFonts w:eastAsia="Arial Unicode MS" w:cs="Times New Roman" w:ascii="Times New Roman" w:hAnsi="Times New Roman"/>
                <w:color w:val="000000"/>
                <w:sz w:val="22"/>
                <w:szCs w:val="22"/>
                <w:shd w:fill="auto" w:val="clear"/>
              </w:rPr>
              <w:t>:</w:t>
            </w:r>
          </w:p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Calibri" w:cs="Tinos" w:ascii="Tinos" w:hAnsi="Tinos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2"/>
                <w:szCs w:val="22"/>
                <w:u w:val="none"/>
                <w:shd w:fill="auto" w:val="clear"/>
                <w:em w:val="none"/>
                <w:lang w:val="ru-RU" w:eastAsia="ru-RU" w:bidi="ar-SA"/>
              </w:rPr>
              <w:t>Управление Росгвардии по Сахалинской области, 693004, г.Южно-Сахалинск, ул. Ленина, д.495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hanging="624" w:left="624" w:right="62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Способ приватизации имущества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bCs/>
                <w:sz w:val="24"/>
                <w:szCs w:val="24"/>
                <w:shd w:fill="auto" w:val="clear"/>
              </w:rPr>
              <w:t>Аукцион в электронной форме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hanging="624" w:left="624" w:right="62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Начальная цена продажи </w:t>
            </w:r>
            <w:r>
              <w:rPr>
                <w:rFonts w:cs="Times New Roman" w:ascii="Times New Roman" w:hAnsi="Times New Roman"/>
                <w:bCs/>
                <w:sz w:val="24"/>
                <w:szCs w:val="24"/>
              </w:rPr>
              <w:t>имущества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highlight w:val="none"/>
                <w:shd w:fill="auto" w:val="clear"/>
              </w:rPr>
            </w:pPr>
            <w:r>
              <w:rPr>
                <w:rFonts w:eastAsia="Calibri" w:cs="Times New Roman" w:ascii="Times New Roman" w:hAnsi="Times New Roman"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 xml:space="preserve">58 500,00 </w:t>
            </w: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>руб.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hanging="624" w:left="624" w:right="62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Величина повышения начальной цены («шаг аукциона»)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Calibri" w:cs="Times New Roman" w:ascii="Times New Roman" w:hAnsi="Times New Roman"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5</w:t>
            </w: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 xml:space="preserve"> % от цены продажи — 2 925,00</w:t>
            </w:r>
            <w:r>
              <w:rPr>
                <w:rFonts w:eastAsia="Calibri" w:cs="Times New Roman" w:ascii="Times New Roman" w:hAnsi="Times New Roman"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>руб.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hanging="624" w:left="624" w:right="62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Условия и сроки платежа, необходимые реквизиты счетов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/>
            </w:pPr>
            <w:bookmarkStart w:id="0" w:name="sub_662"/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  <w:t>Денежные средства в счет оплаты государственного или муниципального имущества, подлежат перечислению победителем Балансодержателю в установленном порядке в бюджет соответствующего уровня бюджетной системы Российской Федерации в размере и сроки, которые указаны в договоре купли-продажи имущества, в течении 15 рабочих дней со дня заключения такого договора</w:t>
            </w:r>
            <w:bookmarkEnd w:id="0"/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по </w:t>
            </w:r>
            <w:r>
              <w:rPr>
                <w:rFonts w:cs="Times New Roman" w:ascii="Times New Roman" w:hAnsi="Times New Roman"/>
                <w:b/>
                <w:i/>
                <w:sz w:val="24"/>
                <w:szCs w:val="24"/>
              </w:rPr>
              <w:t>платежным реквизитам Балансодержателя</w:t>
            </w:r>
            <w:r>
              <w:rPr>
                <w:rFonts w:cs="Times New Roman" w:ascii="Times New Roman" w:hAnsi="Times New Roman"/>
                <w:color w:val="FF0000"/>
                <w:sz w:val="24"/>
                <w:szCs w:val="24"/>
              </w:rPr>
              <w:t>.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hanging="624" w:left="624" w:right="62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Размер задатка, срок и порядок его внесения, необходимые реквизиты счетов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bCs/>
                <w:sz w:val="24"/>
                <w:szCs w:val="24"/>
              </w:rPr>
              <w:t xml:space="preserve">        </w:t>
            </w:r>
            <w:r>
              <w:rPr>
                <w:rFonts w:cs="Times New Roman" w:ascii="Times New Roman" w:hAnsi="Times New Roman"/>
                <w:bCs/>
                <w:sz w:val="24"/>
                <w:szCs w:val="24"/>
              </w:rPr>
              <w:t>10% от начальной цены</w:t>
            </w:r>
            <w:r>
              <w:rPr>
                <w:rFonts w:cs="Times New Roman" w:ascii="Times New Roman" w:hAnsi="Times New Roman"/>
                <w:bCs/>
                <w:sz w:val="24"/>
                <w:szCs w:val="24"/>
                <w:shd w:fill="auto" w:val="clear"/>
              </w:rPr>
              <w:t xml:space="preserve"> реализации </w:t>
            </w:r>
            <w:r>
              <w:rPr>
                <w:rFonts w:cs="Times New Roman" w:ascii="Times New Roman" w:hAnsi="Times New Roman"/>
                <w:bCs/>
                <w:color w:val="000000"/>
                <w:sz w:val="24"/>
                <w:szCs w:val="24"/>
                <w:shd w:fill="auto" w:val="clear"/>
              </w:rPr>
              <w:t xml:space="preserve"> - </w:t>
            </w:r>
            <w:r>
              <w:rPr>
                <w:rFonts w:eastAsia="Calibri" w:cs="Times New Roman" w:ascii="Times New Roman" w:hAnsi="Times New Roman"/>
                <w:bCs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 xml:space="preserve">5 850,00 </w:t>
            </w: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>руб.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hd w:fill="auto" w:val="clear"/>
              </w:rPr>
              <w:t>П</w:t>
            </w: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 xml:space="preserve">еречисление задатка претендентами на участие в аукционе претендент перечисляет в безналичном порядке денежные средства в валюте Российской Федерации на </w:t>
            </w:r>
            <w:r>
              <w:rPr>
                <w:rFonts w:eastAsia="Calibri" w:cs="Times New Roman" w:ascii="Times New Roman" w:hAnsi="Times New Roman"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банковский счет Оператора электронной площадки.</w:t>
            </w:r>
          </w:p>
          <w:p>
            <w:pPr>
              <w:pStyle w:val="Normal"/>
              <w:spacing w:lineRule="auto" w:line="240" w:before="0" w:after="0"/>
              <w:ind w:firstLine="567" w:left="0" w:right="0"/>
              <w:jc w:val="both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  <w:shd w:fill="auto" w:val="clear"/>
              </w:rPr>
              <w:t>Задаток </w:t>
            </w:r>
            <w:r>
              <w:rPr>
                <w:rFonts w:cs="Times New Roman" w:ascii="Times New Roman" w:hAnsi="Times New Roman"/>
                <w:bCs/>
                <w:iCs/>
                <w:sz w:val="24"/>
                <w:szCs w:val="24"/>
                <w:shd w:fill="auto" w:val="clear"/>
              </w:rPr>
              <w:t>должен быть перечислен на указанный счет не позднее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  <w:shd w:fill="auto" w:val="clear"/>
              </w:rPr>
              <w:t xml:space="preserve"> «</w:t>
            </w:r>
            <w:r>
              <w:rPr>
                <w:rFonts w:eastAsia="Calibri" w:cs="Times New Roman" w:ascii="Times New Roman" w:hAnsi="Times New Roman"/>
                <w:b/>
                <w:bCs/>
                <w:iCs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0</w:t>
            </w:r>
            <w:r>
              <w:rPr>
                <w:rFonts w:eastAsia="Calibri" w:cs="Times New Roman" w:ascii="Times New Roman" w:hAnsi="Times New Roman"/>
                <w:b/>
                <w:bCs/>
                <w:iCs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6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  <w:shd w:fill="auto" w:val="clear"/>
              </w:rPr>
              <w:t xml:space="preserve">» 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  <w:shd w:fill="auto" w:val="clear"/>
              </w:rPr>
              <w:t>августа</w:t>
            </w:r>
            <w:r>
              <w:rPr>
                <w:rFonts w:eastAsia="Calibri" w:cs="Times New Roman" w:ascii="Times New Roman" w:hAnsi="Times New Roman"/>
                <w:b/>
                <w:bCs/>
                <w:iCs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 xml:space="preserve"> 2026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  <w:shd w:fill="auto" w:val="clear"/>
              </w:rPr>
              <w:t xml:space="preserve"> г.</w:t>
            </w:r>
          </w:p>
          <w:p>
            <w:pPr>
              <w:pStyle w:val="Normal"/>
              <w:tabs>
                <w:tab w:val="clear" w:pos="408"/>
                <w:tab w:val="left" w:pos="7740" w:leader="none"/>
              </w:tabs>
              <w:spacing w:lineRule="auto" w:line="240" w:before="0" w:after="0"/>
              <w:ind w:firstLine="600" w:left="0" w:right="0"/>
              <w:jc w:val="both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>Задаток перечисляется на счет продавца на основании публичной оферты.</w:t>
            </w:r>
          </w:p>
          <w:p>
            <w:pPr>
              <w:pStyle w:val="Normal"/>
              <w:tabs>
                <w:tab w:val="clear" w:pos="408"/>
                <w:tab w:val="left" w:pos="7740" w:leader="none"/>
              </w:tabs>
              <w:spacing w:lineRule="auto" w:line="240" w:before="0" w:after="0"/>
              <w:ind w:firstLine="600" w:left="0"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>Данное информационное сообщение является публичной офертой для заключения договора о задатке в соответствии со статьей 437 Гражданского кодекса Российск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ой Федерации, а подача претендентом заявки и перечисление задатка являются акцептом такой оферты, после чего договор о задатке считается заключенным в письменной форме.</w:t>
            </w:r>
          </w:p>
          <w:p>
            <w:pPr>
              <w:pStyle w:val="Normal"/>
              <w:tabs>
                <w:tab w:val="clear" w:pos="408"/>
                <w:tab w:val="left" w:pos="7740" w:leader="none"/>
              </w:tabs>
              <w:spacing w:lineRule="auto" w:line="240" w:before="0" w:after="0"/>
              <w:ind w:firstLine="600" w:left="0"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Документом, подтверждающим поступление задатка на счет Продавца, является выписка со счета.</w:t>
            </w:r>
          </w:p>
          <w:p>
            <w:pPr>
              <w:pStyle w:val="Normal"/>
              <w:tabs>
                <w:tab w:val="clear" w:pos="408"/>
                <w:tab w:val="left" w:pos="1260" w:leader="none"/>
                <w:tab w:val="left" w:pos="7740" w:leader="none"/>
              </w:tabs>
              <w:spacing w:lineRule="auto" w:line="240" w:before="0" w:after="0"/>
              <w:ind w:firstLine="600" w:left="0" w:right="0"/>
              <w:jc w:val="both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Задаток вносится претендентом в качестве обеспечения исполнения обязательств по оплате высвобождаемого движимого военного имущества и, в случае признания претендента победителем аукциона, засчитывается в счет платежа, причитающегося с претендента в оплату за приобретаемое высвобождаемое движимое военное имущество.</w:t>
            </w:r>
          </w:p>
          <w:p>
            <w:pPr>
              <w:pStyle w:val="Normal"/>
              <w:tabs>
                <w:tab w:val="clear" w:pos="408"/>
                <w:tab w:val="left" w:pos="1260" w:leader="none"/>
                <w:tab w:val="left" w:pos="7740" w:leader="none"/>
              </w:tabs>
              <w:spacing w:lineRule="auto" w:line="240" w:before="0" w:after="0"/>
              <w:ind w:firstLine="600" w:left="0"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 случае не поступления в указанный срок суммы задатка на счет, что подтверждается соответствующей выпиской, обязательства претендента по внесению задатка считаются неисполненными, претендент к участию в аукционе не допускается.</w:t>
            </w:r>
          </w:p>
          <w:p>
            <w:pPr>
              <w:pStyle w:val="Normal"/>
              <w:tabs>
                <w:tab w:val="clear" w:pos="408"/>
                <w:tab w:val="left" w:pos="1260" w:leader="none"/>
                <w:tab w:val="left" w:pos="7740" w:leader="none"/>
              </w:tabs>
              <w:spacing w:lineRule="auto" w:line="240" w:before="0" w:after="0"/>
              <w:ind w:firstLine="600" w:left="0"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Претендент не вправе распоряжаться денежными средствами, поступившими на счет в качестве задатка.</w:t>
            </w:r>
          </w:p>
          <w:p>
            <w:pPr>
              <w:pStyle w:val="BodyText"/>
              <w:tabs>
                <w:tab w:val="clear" w:pos="408"/>
                <w:tab w:val="left" w:pos="1260" w:leader="none"/>
                <w:tab w:val="left" w:pos="7740" w:leader="none"/>
              </w:tabs>
              <w:ind w:firstLine="600" w:left="0" w:right="0"/>
              <w:rPr/>
            </w:pPr>
            <w:r>
              <w:rPr/>
              <w:t>На денежные средства, перечисленные претендентом в качестве задатка, проценты не начисляются.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Возврат денежных средств осуществляется на счет претендента, указанный в заявке.</w:t>
            </w:r>
          </w:p>
          <w:p>
            <w:pPr>
              <w:pStyle w:val="Normal"/>
              <w:tabs>
                <w:tab w:val="clear" w:pos="408"/>
                <w:tab w:val="left" w:pos="7740" w:leader="none"/>
              </w:tabs>
              <w:spacing w:lineRule="auto" w:line="240" w:before="0" w:after="0"/>
              <w:ind w:firstLine="600" w:left="0" w:righ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  <w:u w:val="single"/>
              </w:rPr>
              <w:t>Задаток возвращается претенденту в следующих случаях и порядке:</w:t>
            </w:r>
          </w:p>
          <w:p>
            <w:pPr>
              <w:pStyle w:val="Normal"/>
              <w:tabs>
                <w:tab w:val="clear" w:pos="408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709" w:left="0"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в случае если претенденту было отказано в приеме заявки на участие в аукционе, продавец обязуется возвратить сумму задатка на счет претендента, указанный в заявке, в течение 5 (пяти) дней с даты отказа в принятии заявки, проставленной продавцом на описи представленных претендентом документов;</w:t>
            </w:r>
          </w:p>
          <w:p>
            <w:pPr>
              <w:pStyle w:val="Normal"/>
              <w:tabs>
                <w:tab w:val="clear" w:pos="408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709" w:left="0"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в случае если претендент не допущен к участию в аукционе, продавец обязуется возвратить сумму задатка на счет претендента, указанный в заявке, в течение 5 (пяти) дней со дня подписания протокола о признании претендентов участниками аукциона;</w:t>
            </w:r>
          </w:p>
          <w:p>
            <w:pPr>
              <w:pStyle w:val="Normal"/>
              <w:tabs>
                <w:tab w:val="clear" w:pos="408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709" w:left="0"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в случае если участник не признан победителем аукциона, продавец обязуется возвратить сумму задатка на счет, указанный в заявке, в течение 5 (пяти) дней с даты подведения итогов аукциона;</w:t>
            </w:r>
          </w:p>
          <w:p>
            <w:pPr>
              <w:pStyle w:val="Normal"/>
              <w:tabs>
                <w:tab w:val="clear" w:pos="408"/>
                <w:tab w:val="left" w:pos="1260" w:leader="none"/>
                <w:tab w:val="left" w:pos="7740" w:leader="none"/>
              </w:tabs>
              <w:spacing w:lineRule="auto" w:line="240" w:before="0" w:after="0"/>
              <w:ind w:firstLine="709" w:left="0"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в случае отзыва претендентом в установленном порядке заявки на участие в аукционе до даты окончания приема заявок продавец обязуется возвратить сумму задатка на счет претендента, указанный в заявке, в течение 5 (пяти) дней с даты получения продавцом от претендента письменного уведомления об отзыве заявки. Если заявка отозвана претендентом позднее даты окончания приема заявок, задаток возвращается в течение 5 (пяти) дней с даты подведения итогов аукциона;</w:t>
            </w:r>
          </w:p>
          <w:p>
            <w:pPr>
              <w:pStyle w:val="Normal"/>
              <w:tabs>
                <w:tab w:val="clear" w:pos="408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709" w:left="0"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- в случае признания аукциона несостоявшимся, продавец обязуется возвратить сумму задатка на счет участника, указанный в заявке, в течение 5 (пяти) дней с даты подведения итогов аукциона;</w:t>
            </w:r>
          </w:p>
          <w:p>
            <w:pPr>
              <w:pStyle w:val="Normal"/>
              <w:tabs>
                <w:tab w:val="clear" w:pos="408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709" w:left="0"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в случае отмены проведения аукциона, продавец в течение 5 (пяти) дней с даты опубликования об этом информационного сообщения возвращает участнику сумму задатка на счет, указанный в заявке;</w:t>
            </w:r>
          </w:p>
          <w:p>
            <w:pPr>
              <w:pStyle w:val="Normal"/>
              <w:tabs>
                <w:tab w:val="clear" w:pos="408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709" w:left="0"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продавец освобождается от ответственности за несвоевременное перечисление суммы задатка на счет Претендента, если претендент предоставил недостоверные и (или) неполные сведения о своих реквизитах в заявке.</w:t>
            </w:r>
          </w:p>
          <w:p>
            <w:pPr>
              <w:pStyle w:val="Normal"/>
              <w:tabs>
                <w:tab w:val="clear" w:pos="408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600" w:left="0" w:righ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  <w:u w:val="single"/>
              </w:rPr>
              <w:t>Задаток не возвращается в следующих случаях:</w:t>
            </w:r>
          </w:p>
          <w:p>
            <w:pPr>
              <w:pStyle w:val="Normal"/>
              <w:spacing w:lineRule="auto" w:line="240" w:before="0" w:after="0"/>
              <w:ind w:firstLine="709" w:left="0" w:right="0"/>
              <w:jc w:val="both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если участник, признанный победителем аукциона, уклоняется или отказывается от заключения договора купли-продажи в установленный срок, в том числе, в случае непредставления таким участником документов, подтверждающих его право быть покупателем имущества (если заключение договора купли-продажи высвобождаемого движимого военного имущества являлось для участников аукциона лицензируемым видом деятельности, осуществление которого в силу действующего законодательства возможно только при наличии соответствующей лицензии;</w:t>
            </w:r>
          </w:p>
          <w:p>
            <w:pPr>
              <w:pStyle w:val="Normal"/>
              <w:widowControl/>
              <w:tabs>
                <w:tab w:val="clear" w:pos="408"/>
                <w:tab w:val="left" w:pos="1260" w:leader="none"/>
                <w:tab w:val="left" w:pos="7740" w:leader="none"/>
                <w:tab w:val="left" w:pos="9072" w:leader="none"/>
              </w:tabs>
              <w:bidi w:val="0"/>
              <w:spacing w:lineRule="auto" w:line="240" w:before="0" w:after="0"/>
              <w:ind w:firstLine="680" w:left="0"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если участник, признанный победителем аукциона и заключивший с продавцом договор купли-продажи высвобождаемого движимого военного имущества, не исполнил обязанность по оплате этого имущества в соответствии с заключенным договором купли-продажи;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firstLine="794" w:left="0"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если участник, признанный победителем аукциона, и исполнивший обязательства по оплате имущества в соответствии с договором купли-продажи высвобождаемого движимого военного имущества, заключенного с продавцом, отказывается от получения этого имущества.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hanging="624" w:left="624" w:right="62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Порядок, место, даты начала и окончания подачи заявок на участие в продаже, рассмотрение заявок, признание претендентами участников торгов Порядок разъяснения запросов.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/>
            </w:pPr>
            <w:r>
              <w:rPr>
                <w:rFonts w:cs="Times New Roman CYR" w:ascii="Times New Roman CYR" w:hAnsi="Times New Roman CYR"/>
                <w:sz w:val="24"/>
                <w:szCs w:val="24"/>
                <w:shd w:fill="auto" w:val="clear"/>
                <w:lang w:eastAsia="ru-RU"/>
              </w:rPr>
              <w:t xml:space="preserve">       </w:t>
            </w:r>
            <w:r>
              <w:rPr>
                <w:rFonts w:cs="Times New Roman CYR" w:ascii="Times New Roman CYR" w:hAnsi="Times New Roman CYR"/>
                <w:sz w:val="24"/>
                <w:szCs w:val="24"/>
                <w:shd w:fill="auto" w:val="clear"/>
                <w:lang w:eastAsia="ru-RU"/>
              </w:rPr>
              <w:t xml:space="preserve">Заявка подается путем заполнения ее электронной формы, размещенной в открытой для доступа неограниченного круга лиц части электронной площадки, с приложением электронных образов документов, предусмотренных </w:t>
            </w:r>
            <w:hyperlink r:id="rId2">
              <w:r>
                <w:rPr>
                  <w:rStyle w:val="Style8"/>
                  <w:rFonts w:cs="Times New Roman CYR" w:ascii="Times New Roman CYR" w:hAnsi="Times New Roman CYR"/>
                  <w:color w:val="106BBE"/>
                  <w:sz w:val="24"/>
                  <w:szCs w:val="24"/>
                  <w:shd w:fill="auto" w:val="clear"/>
                  <w:lang w:eastAsia="ru-RU"/>
                </w:rPr>
                <w:t>Федеральным законом</w:t>
              </w:r>
            </w:hyperlink>
            <w:r>
              <w:rPr>
                <w:rFonts w:cs="Times New Roman CYR" w:ascii="Times New Roman CYR" w:hAnsi="Times New Roman CYR"/>
                <w:sz w:val="24"/>
                <w:szCs w:val="24"/>
                <w:shd w:fill="auto" w:val="clear"/>
                <w:lang w:eastAsia="ru-RU"/>
              </w:rPr>
              <w:t xml:space="preserve"> о приватизации.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firstLine="567" w:left="0" w:right="0"/>
              <w:jc w:val="both"/>
              <w:rPr/>
            </w:pP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 xml:space="preserve">Заявка подается оператору Торговаой площадки 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shd w:fill="auto" w:val="clear"/>
                <w:lang w:eastAsia="ru-RU"/>
              </w:rPr>
              <w:t>АО «Единая электронная торговая площадка» (сокращенно АО «ЕЭТП» или «Росэлторг»). Сайт.</w:t>
            </w:r>
            <w:hyperlink r:id="rId3">
              <w:r>
                <w:rPr>
                  <w:rStyle w:val="Style8"/>
                  <w:rFonts w:eastAsia="Times New Roman" w:cs="Times New Roman" w:ascii="Times New Roman" w:hAnsi="Times New Roman"/>
                  <w:sz w:val="24"/>
                  <w:szCs w:val="24"/>
                  <w:u w:val="single"/>
                  <w:shd w:fill="auto" w:val="clear"/>
                  <w:lang w:eastAsia="ru-RU"/>
                </w:rPr>
                <w:t>https://</w:t>
              </w:r>
            </w:hyperlink>
            <w:hyperlink r:id="rId4">
              <w:r>
                <w:rPr>
                  <w:rStyle w:val="Style8"/>
                  <w:rFonts w:eastAsia="Times New Roman" w:cs="Times New Roman" w:ascii="Times New Roman" w:hAnsi="Times New Roman"/>
                  <w:sz w:val="24"/>
                  <w:szCs w:val="24"/>
                  <w:u w:val="single"/>
                  <w:shd w:fill="auto" w:val="clear"/>
                  <w:lang w:val="en-US" w:eastAsia="ru-RU"/>
                </w:rPr>
                <w:t>www</w:t>
              </w:r>
            </w:hyperlink>
            <w:hyperlink r:id="rId5">
              <w:r>
                <w:rPr>
                  <w:rStyle w:val="Style8"/>
                  <w:rFonts w:eastAsia="Times New Roman" w:cs="Times New Roman" w:ascii="Times New Roman" w:hAnsi="Times New Roman"/>
                  <w:sz w:val="24"/>
                  <w:szCs w:val="24"/>
                  <w:u w:val="single"/>
                  <w:shd w:fill="auto" w:val="clear"/>
                  <w:lang w:eastAsia="ru-RU"/>
                </w:rPr>
                <w:t>.roseltorg.ru</w:t>
              </w:r>
            </w:hyperlink>
            <w:r>
              <w:rPr>
                <w:rFonts w:eastAsia="Times New Roman" w:cs="Times New Roman" w:ascii="Times New Roman" w:hAnsi="Times New Roman"/>
                <w:sz w:val="24"/>
                <w:szCs w:val="24"/>
                <w:shd w:fill="auto" w:val="clear"/>
                <w:lang w:eastAsia="ru-RU"/>
              </w:rPr>
              <w:t>.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highlight w:val="none"/>
                <w:shd w:fill="auto" w:val="clear"/>
              </w:rPr>
            </w:pPr>
            <w:r>
              <w:rPr>
                <w:rFonts w:cs="Times New Roman CYR" w:ascii="Times New Roman CYR" w:hAnsi="Times New Roman CYR"/>
                <w:sz w:val="24"/>
                <w:szCs w:val="24"/>
                <w:shd w:fill="auto" w:val="clear"/>
                <w:lang w:eastAsia="ru-RU"/>
              </w:rPr>
              <w:t>Одно лицо имеет право подать только одну заявку.</w:t>
            </w:r>
          </w:p>
          <w:p>
            <w:pPr>
              <w:pStyle w:val="Normal"/>
              <w:widowControl w:val="false"/>
              <w:bidi w:val="0"/>
              <w:spacing w:lineRule="auto" w:line="240" w:before="0" w:after="0"/>
              <w:ind w:firstLine="510" w:left="0" w:right="0"/>
              <w:jc w:val="both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>Время создания, получения и отправки электронных документов на электронной площадке, а также время проведения процедуры продажи имущества соответствует местному времени, в котором функционирует электронная площадка.</w:t>
            </w:r>
            <w:bookmarkStart w:id="1" w:name="sub_221"/>
            <w:bookmarkEnd w:id="1"/>
          </w:p>
          <w:p>
            <w:pPr>
              <w:pStyle w:val="Normal"/>
              <w:spacing w:lineRule="auto" w:line="240" w:before="0" w:after="0"/>
              <w:ind w:firstLine="600" w:left="0" w:right="-2"/>
              <w:jc w:val="both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  <w:shd w:fill="auto" w:val="clear"/>
              </w:rPr>
              <w:t>Дата начала приема заявок на участие в аукционе – «1» июля 2026 г.</w:t>
            </w:r>
          </w:p>
          <w:p>
            <w:pPr>
              <w:pStyle w:val="Normal"/>
              <w:spacing w:lineRule="auto" w:line="240" w:before="0" w:after="0"/>
              <w:ind w:firstLine="600" w:left="0" w:right="-2"/>
              <w:jc w:val="both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  <w:shd w:fill="auto" w:val="clear"/>
              </w:rPr>
              <w:t>Дата окончания приема заявок на участие в аукционе – «11» августа 2026 г. в 12 ч. 00 мин.</w:t>
            </w:r>
          </w:p>
          <w:p>
            <w:pPr>
              <w:pStyle w:val="Normal"/>
              <w:spacing w:lineRule="auto" w:line="240" w:before="0" w:after="0"/>
              <w:ind w:firstLine="600" w:left="0" w:right="-2"/>
              <w:jc w:val="both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  <w:shd w:fill="auto" w:val="clear"/>
              </w:rPr>
              <w:t>Рассмотрение заявок «14» августа  2026г. по адресу: г. Хабаровск, ул. Серышева, 60.</w:t>
            </w:r>
          </w:p>
          <w:p>
            <w:pPr>
              <w:pStyle w:val="Normal"/>
              <w:spacing w:lineRule="auto" w:line="240" w:before="0" w:after="0"/>
              <w:ind w:firstLine="600" w:left="0" w:right="-2"/>
              <w:jc w:val="both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  <w:shd w:fill="auto" w:val="clear"/>
              </w:rPr>
              <w:t>Решение продавца о признании претендентов участниками аукциона  «14» августа 2026 г.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720" w:left="0" w:right="0"/>
              <w:jc w:val="both"/>
              <w:rPr>
                <w:highlight w:val="none"/>
                <w:shd w:fill="auto" w:val="clear"/>
              </w:rPr>
            </w:pPr>
            <w:r>
              <w:rPr>
                <w:rFonts w:cs="Times New Roman CYR" w:ascii="Times New Roman CYR" w:hAnsi="Times New Roman CYR"/>
                <w:sz w:val="24"/>
                <w:szCs w:val="24"/>
                <w:shd w:fill="auto" w:val="clear"/>
                <w:lang w:eastAsia="ru-RU"/>
              </w:rPr>
              <w:t>Любое лицо независимо от регистрации на электронной площадке вправе направить на электронный адрес оператора электронной площадки, указанный в информационном сообщении о проведении продажи имущества, запрос о разъяснении размещенной информации.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720" w:left="0" w:right="0"/>
              <w:jc w:val="both"/>
              <w:rPr>
                <w:highlight w:val="none"/>
                <w:shd w:fill="auto" w:val="clear"/>
              </w:rPr>
            </w:pPr>
            <w:r>
              <w:rPr>
                <w:rFonts w:cs="Times New Roman CYR" w:ascii="Times New Roman CYR" w:hAnsi="Times New Roman CYR"/>
                <w:sz w:val="24"/>
                <w:szCs w:val="24"/>
                <w:shd w:fill="auto" w:val="clear"/>
                <w:lang w:eastAsia="ru-RU"/>
              </w:rPr>
              <w:t>Такой запрос в режиме реального времени направляется в "личный кабинет" продавца для рассмотрения при условии, что запрос поступил продавцу не позднее 5 рабочих дней до окончания подачи заявок.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720" w:left="0" w:right="0"/>
              <w:jc w:val="both"/>
              <w:rPr>
                <w:highlight w:val="none"/>
                <w:shd w:fill="auto" w:val="clear"/>
              </w:rPr>
            </w:pPr>
            <w:r>
              <w:rPr>
                <w:rFonts w:cs="Times New Roman CYR" w:ascii="Times New Roman CYR" w:hAnsi="Times New Roman CYR"/>
                <w:sz w:val="24"/>
                <w:szCs w:val="24"/>
                <w:shd w:fill="auto" w:val="clear"/>
                <w:lang w:eastAsia="ru-RU"/>
              </w:rPr>
              <w:t>В течение 2 рабочих дней со дня поступления запроса продавец предоставляет оператору электронной площадки для размещения в открытом доступе разъяснение с указанием предмета запроса, но без указания лица, от которого поступил запрос.</w:t>
            </w:r>
            <w:bookmarkStart w:id="2" w:name="sub_583"/>
            <w:bookmarkEnd w:id="2"/>
          </w:p>
          <w:p>
            <w:pPr>
              <w:pStyle w:val="Normal"/>
              <w:spacing w:lineRule="auto" w:line="240" w:before="0" w:after="0"/>
              <w:ind w:firstLine="600" w:left="0" w:right="0"/>
              <w:jc w:val="both"/>
              <w:rPr>
                <w:rFonts w:ascii="Times New Roman" w:hAnsi="Times New Roman" w:cs="Times New Roman"/>
                <w:sz w:val="24"/>
                <w:szCs w:val="24"/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</w:r>
          </w:p>
        </w:tc>
      </w:tr>
      <w:tr>
        <w:trPr>
          <w:trHeight w:val="242" w:hRule="atLeast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hanging="624" w:left="624" w:right="62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Дата, время и место проведения аукциона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HTMLPreformatted"/>
              <w:ind w:firstLine="540" w:left="0" w:right="0"/>
              <w:jc w:val="both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  <w:shd w:fill="auto" w:val="clear"/>
              </w:rPr>
              <w:t>Проведение процедуры аукциона  - «</w:t>
            </w:r>
            <w:r>
              <w:rPr>
                <w:rFonts w:eastAsia="Times New Roman" w:cs="Times New Roman" w:ascii="Times New Roman" w:hAnsi="Times New Roman"/>
                <w:b/>
                <w:bCs/>
                <w:iCs/>
                <w:color w:val="000000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1</w:t>
            </w:r>
            <w:r>
              <w:rPr>
                <w:rFonts w:eastAsia="Times New Roman" w:cs="Times New Roman" w:ascii="Times New Roman" w:hAnsi="Times New Roman"/>
                <w:b/>
                <w:bCs/>
                <w:iCs/>
                <w:color w:val="000000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9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  <w:shd w:fill="auto" w:val="clear"/>
              </w:rPr>
              <w:t>» августа</w:t>
            </w:r>
            <w:r>
              <w:rPr>
                <w:rFonts w:eastAsia="Times New Roman" w:cs="Times New Roman" w:ascii="Times New Roman" w:hAnsi="Times New Roman"/>
                <w:b/>
                <w:bCs/>
                <w:iCs/>
                <w:color w:val="000000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 xml:space="preserve"> 2026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  <w:shd w:fill="auto" w:val="clear"/>
              </w:rPr>
              <w:t xml:space="preserve"> г. в 12 ч. 00 мин.</w:t>
            </w:r>
          </w:p>
          <w:p>
            <w:pPr>
              <w:pStyle w:val="HTMLPreformatted"/>
              <w:jc w:val="both"/>
              <w:rPr/>
            </w:pP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 xml:space="preserve">АО «ЕЭТП» или «Росэлторг») </w:t>
            </w:r>
            <w:hyperlink r:id="rId6">
              <w:r>
                <w:rPr>
                  <w:rStyle w:val="Style8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  <w:shd w:fill="auto" w:val="clear"/>
                </w:rPr>
                <w:t>https://</w:t>
              </w:r>
            </w:hyperlink>
            <w:hyperlink r:id="rId7">
              <w:r>
                <w:rPr>
                  <w:rStyle w:val="Style8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  <w:shd w:fill="auto" w:val="clear"/>
                  <w:lang w:val="en-US"/>
                </w:rPr>
                <w:t>www</w:t>
              </w:r>
            </w:hyperlink>
            <w:hyperlink r:id="rId8">
              <w:r>
                <w:rPr>
                  <w:rStyle w:val="Style8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  <w:shd w:fill="auto" w:val="clear"/>
                </w:rPr>
                <w:t>.roseltorg.ru</w:t>
              </w:r>
            </w:hyperlink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>.</w:t>
            </w:r>
          </w:p>
          <w:p>
            <w:pPr>
              <w:pStyle w:val="HTMLPreformatted"/>
              <w:jc w:val="both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>Подведение итогов – в день проведения торгов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hanging="624" w:left="624" w:right="62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Исчерпывающий перечень представляемых участниками торгов документов и требования к их оформлению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bidi w:val="0"/>
              <w:spacing w:lineRule="auto" w:line="240" w:before="0" w:after="0"/>
              <w:ind w:firstLine="510" w:left="0" w:right="0"/>
              <w:jc w:val="both"/>
              <w:rPr/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Заявка (</w:t>
            </w: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highlight w:val="white"/>
                <w:lang w:eastAsia="ru-RU"/>
              </w:rPr>
              <w:t>приложение №</w:t>
            </w:r>
            <w:r>
              <w:rPr>
                <w:rFonts w:eastAsia="Times New Roman" w:cs="Times New Roman" w:ascii="Times New Roman" w:hAnsi="Times New Roman"/>
                <w:bCs/>
                <w:color w:val="C9211E"/>
                <w:sz w:val="24"/>
                <w:szCs w:val="24"/>
                <w:highlight w:val="white"/>
                <w:lang w:eastAsia="ru-RU"/>
              </w:rPr>
              <w:t xml:space="preserve"> 2,3</w:t>
            </w: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 xml:space="preserve">) подается путем заполнения ее электронной формы, размещенной в открытой для доступа неограниченного круга лиц части электронной площадки (далее - открытая часть электронной площадки), с приложением электронных образов документов, предусмотренных Федеральным </w:t>
            </w:r>
            <w:hyperlink r:id="rId9">
              <w:r>
                <w:rPr>
                  <w:rStyle w:val="Style8"/>
                  <w:rFonts w:eastAsia="Times New Roman" w:cs="Times New Roman" w:ascii="Times New Roman" w:hAnsi="Times New Roman"/>
                  <w:bCs/>
                  <w:sz w:val="24"/>
                  <w:szCs w:val="24"/>
                  <w:lang w:eastAsia="ru-RU"/>
                </w:rPr>
                <w:t>законом</w:t>
              </w:r>
            </w:hyperlink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 xml:space="preserve">  </w:t>
              <w:br/>
              <w:t>от 21 декабря 2001 г. № 178-ФЗ «О приватизации государственного и муниципального имущества».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firstLine="397" w:left="0" w:right="0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Одновременно с Заявкой на участие в продаже Претенденты представляют следующие документы в форме электронных документов либо электронных образов документов (документов на бумажном носителе, преобразованных в электронно-цифровую форму путем сканирования с сохранением их реквизитов), заверенных электронной подписью.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firstLine="397" w:left="0" w:right="0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Доверенность на лицо, имеющее право действовать от имени претендента, если заявка подается представителем претендента, оформленная в установленном порядке, или нотариально заверенная копия такой доверенности.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В случае,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firstLine="567" w:left="0" w:right="0"/>
              <w:jc w:val="both"/>
              <w:rPr/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u w:val="single"/>
                <w:lang w:eastAsia="ru-RU"/>
              </w:rPr>
              <w:t>Юридические лица</w:t>
            </w: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eastAsia="ru-RU"/>
              </w:rPr>
              <w:t>: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firstLine="567" w:left="0" w:right="0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1) заверенные копии учредительных документов;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firstLine="567" w:left="0" w:right="0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2) документ, который подтверждает полномочия руководителя юридического лица на осуществление действий от имени юридического лица (решение о назначении этого лица или об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firstLine="680" w:left="0" w:right="0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-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и подписанное его руководителем письмо).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firstLine="680" w:left="0" w:right="0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Физические лица, в том числе индивидуальные предприниматели предъявляют документ, удостоверяющий личность, или представляют копии всех его листов.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firstLine="680" w:left="0" w:right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Документы, представляемые иностранными лицами, должны быть легализованы в установленном порядке и иметь нотариально заверенный перевод на русский язык.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firstLine="680" w:left="0" w:right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Указанные документы (в том числе копии документов) в части их оформления, заверения и содержания должны соответствовать требованиям законодательства Российской Федерации и настоящего информационного сообщения.</w:t>
            </w:r>
          </w:p>
          <w:p>
            <w:pPr>
              <w:pStyle w:val="Normal"/>
              <w:spacing w:lineRule="auto" w:line="240" w:before="0" w:after="0"/>
              <w:ind w:firstLine="709" w:left="0" w:right="0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Изменение заявки допускается только путем подачи претендентом новой заявки в сроки, установленные в сообщении о проведении продажи, при этом первоначальная заявка должна быть отозвана.</w:t>
            </w:r>
          </w:p>
          <w:p>
            <w:pPr>
              <w:pStyle w:val="Normal"/>
              <w:spacing w:lineRule="auto" w:line="240" w:before="0" w:after="0"/>
              <w:ind w:firstLine="600" w:left="0" w:righ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  <w:u w:val="single"/>
              </w:rPr>
              <w:t>Физические лица:</w:t>
            </w:r>
          </w:p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представляют копии всех листов документа, удостоверяющего личность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.</w:t>
            </w:r>
          </w:p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 случае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Соблюдение претендентом указанных требований означает, что заявка и документы, представляемые одновременно с заявкой, поданы от имени претендента.</w:t>
            </w:r>
          </w:p>
          <w:p>
            <w:pPr>
              <w:pStyle w:val="Normal"/>
              <w:tabs>
                <w:tab w:val="clear" w:pos="4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pacing w:lineRule="auto" w:line="240" w:before="0" w:after="0"/>
              <w:ind w:firstLine="540" w:left="0"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Соблюдение претендентом указанных требований означает, что заявка и документы, представляемые одновременно с заявкой, поданы от имени претендента.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/>
              <w:suppressAutoHyphens w:val="true"/>
              <w:bidi w:val="0"/>
              <w:spacing w:lineRule="auto" w:line="240" w:before="0" w:after="0"/>
              <w:ind w:hanging="0" w:left="0" w:right="0"/>
              <w:contextualSpacing/>
              <w:jc w:val="center"/>
              <w:rPr/>
            </w:pPr>
            <w:r>
              <w:rPr/>
              <w:t>11.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Основания для отказа претенденту участвовать в аукционе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BodyText2"/>
              <w:widowControl w:val="false"/>
              <w:spacing w:lineRule="auto" w:line="240" w:before="0" w:after="0"/>
              <w:ind w:firstLine="600" w:left="0"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Претендент не допускается к участию в аукционе по следующим основаниям:</w:t>
            </w:r>
          </w:p>
          <w:p>
            <w:pPr>
              <w:pStyle w:val="ConsPlusNormal1"/>
              <w:widowControl/>
              <w:ind w:firstLine="709" w:left="0"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представленные документы не подтверждают право претендента быть покупателем в соответствии с законодательством Российской Федерации;</w:t>
            </w:r>
          </w:p>
          <w:p>
            <w:pPr>
              <w:pStyle w:val="ConsPlusNormal1"/>
              <w:widowControl/>
              <w:ind w:firstLine="709" w:left="0"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-представлены не все документы в соответствии с перечнем, указанным в информационном сообщении (за исключением предложений о цене государственного или муниципального имущества на аукционе), или оформление указанных документов не соответствует законодательству Российской Федерации;</w:t>
            </w:r>
          </w:p>
          <w:p>
            <w:pPr>
              <w:pStyle w:val="ConsPlusNormal1"/>
              <w:widowControl/>
              <w:ind w:firstLine="709" w:left="0"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заявка подана лицом, не уполномоченным претендентом на осуществление таких действий;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не подтверждено поступление в установленный срок задатка на счета, указанные в информационном сообщении.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/>
              <w:suppressAutoHyphens w:val="true"/>
              <w:bidi w:val="0"/>
              <w:spacing w:lineRule="auto" w:line="240" w:before="0" w:after="0"/>
              <w:ind w:hanging="0" w:left="0" w:right="0"/>
              <w:contextualSpacing/>
              <w:jc w:val="center"/>
              <w:rPr/>
            </w:pPr>
            <w:r>
              <w:rPr/>
              <w:t>12.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Срок заключения договора купли-продажи имущества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По результатам аукциона продавец и победитель аукциона (покупатель) в </w:t>
            </w: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течение 5 рабочих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дней со дня подведения итогов аукциона заключают в соответствии с </w:t>
            </w:r>
            <w:hyperlink r:id="rId10">
              <w:r>
                <w:rPr>
                  <w:rStyle w:val="Style8"/>
                  <w:rFonts w:ascii="Times New Roman" w:hAnsi="Times New Roman"/>
                  <w:sz w:val="24"/>
                  <w:szCs w:val="24"/>
                </w:rPr>
                <w:t>законодательством</w:t>
              </w:r>
            </w:hyperlink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Российской Федерации договор купли-продажи имущества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/>
              <w:suppressAutoHyphens w:val="true"/>
              <w:bidi w:val="0"/>
              <w:spacing w:lineRule="auto" w:line="240" w:before="0" w:after="0"/>
              <w:ind w:hanging="0" w:left="0" w:right="0"/>
              <w:contextualSpacing/>
              <w:jc w:val="center"/>
              <w:rPr/>
            </w:pPr>
            <w:r>
              <w:rPr/>
              <w:t>13.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Порядок ознакомления покупателей с иной информацией, условиями договора купли-продажи имущества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shd w:fill="auto" w:val="clear"/>
                <w:lang w:eastAsia="ru-RU"/>
              </w:rPr>
              <w:t xml:space="preserve">Информация о проведении продаж посредством публичного предложения имущества размещается на официальном сайте Российской Федерации в сети «Интернет» </w:t>
            </w:r>
            <w:hyperlink r:id="rId11">
              <w:r>
                <w:rPr>
                  <w:rStyle w:val="Style8"/>
                  <w:rFonts w:eastAsia="Times New Roman" w:cs="Times New Roman" w:ascii="Times New Roman" w:hAnsi="Times New Roman"/>
                  <w:color w:val="0000FF"/>
                  <w:sz w:val="24"/>
                  <w:szCs w:val="24"/>
                  <w:u w:val="single"/>
                  <w:shd w:fill="auto" w:val="clear"/>
                  <w:lang w:eastAsia="ru-RU"/>
                </w:rPr>
                <w:t>www.torgi.gov.ru</w:t>
              </w:r>
            </w:hyperlink>
            <w:r>
              <w:rPr>
                <w:rFonts w:eastAsia="Times New Roman" w:cs="Times New Roman" w:ascii="Times New Roman" w:hAnsi="Times New Roman"/>
                <w:sz w:val="24"/>
                <w:szCs w:val="24"/>
                <w:shd w:fill="auto" w:val="clear"/>
                <w:lang w:eastAsia="ru-RU"/>
              </w:rPr>
              <w:t xml:space="preserve">, на сайте электронной площадки </w:t>
            </w:r>
            <w:hyperlink r:id="rId12">
              <w:r>
                <w:rPr>
                  <w:rStyle w:val="Style8"/>
                  <w:rFonts w:eastAsia="Times New Roman" w:cs="Times New Roman" w:ascii="Times New Roman" w:hAnsi="Times New Roman"/>
                  <w:color w:val="0000FF"/>
                  <w:sz w:val="24"/>
                  <w:szCs w:val="24"/>
                  <w:u w:val="single"/>
                  <w:shd w:fill="auto" w:val="clear"/>
                  <w:lang w:eastAsia="ru-RU"/>
                </w:rPr>
                <w:t>www.roseltorg.ru</w:t>
              </w:r>
            </w:hyperlink>
            <w:r>
              <w:rPr>
                <w:rFonts w:eastAsia="Times New Roman" w:cs="Times New Roman" w:ascii="Times New Roman" w:hAnsi="Times New Roman"/>
                <w:sz w:val="24"/>
                <w:szCs w:val="24"/>
                <w:shd w:fill="auto" w:val="clear"/>
                <w:lang w:eastAsia="ru-RU"/>
              </w:rPr>
              <w:t>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shd w:fill="auto" w:val="clear"/>
                <w:lang w:eastAsia="ru-RU"/>
              </w:rPr>
              <w:t xml:space="preserve">С дополнительной информацией об участии в торгах,  по телефону: </w:t>
            </w:r>
            <w:r>
              <w:rPr>
                <w:rFonts w:cs="TimesNewRomanPSMT" w:ascii="TimesNewRomanPSMT" w:hAnsi="TimesNewRomanPSMT"/>
                <w:b/>
                <w:sz w:val="24"/>
                <w:szCs w:val="24"/>
                <w:shd w:fill="auto" w:val="clear"/>
              </w:rPr>
              <w:t>+7(4212)34-04-</w:t>
            </w:r>
            <w:r>
              <w:rPr>
                <w:rFonts w:eastAsia="Calibri" w:cs="TimesNewRomanPSMT" w:ascii="TimesNewRomanPSMT" w:hAnsi="TimesNewRomanPSMT"/>
                <w:b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86</w:t>
            </w:r>
            <w:r>
              <w:rPr>
                <w:rFonts w:cs="TimesNewRomanPSMT" w:ascii="TimesNewRomanPSMT" w:hAnsi="TimesNewRomanPSMT"/>
                <w:b/>
                <w:sz w:val="24"/>
                <w:szCs w:val="24"/>
                <w:shd w:fill="auto" w:val="clear"/>
              </w:rPr>
              <w:t>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highlight w:val="none"/>
                <w:shd w:fill="auto" w:val="clear"/>
              </w:rPr>
            </w:pPr>
            <w:bookmarkStart w:id="3" w:name="_GoBack"/>
            <w:bookmarkEnd w:id="3"/>
            <w:r>
              <w:rPr>
                <w:rFonts w:cs="TimesNewRomanPSMT" w:ascii="Times New Roman" w:hAnsi="Times New Roman"/>
                <w:b/>
                <w:sz w:val="24"/>
                <w:szCs w:val="24"/>
                <w:shd w:fill="auto" w:val="clear"/>
              </w:rPr>
              <w:t xml:space="preserve">Контактное лицо </w:t>
            </w:r>
            <w:r>
              <w:rPr>
                <w:rFonts w:eastAsia="Calibri" w:cs="TimesNewRomanPSMT" w:ascii="Times New Roman" w:hAnsi="Times New Roman"/>
                <w:b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Рогудеев Владислав Валерьевич 8-938-510-11-51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/>
              <w:suppressAutoHyphens w:val="true"/>
              <w:bidi w:val="0"/>
              <w:spacing w:lineRule="auto" w:line="240" w:before="0" w:after="0"/>
              <w:ind w:hanging="0" w:left="0" w:right="0"/>
              <w:contextualSpacing/>
              <w:jc w:val="center"/>
              <w:rPr/>
            </w:pPr>
            <w:r>
              <w:rPr/>
              <w:t>14.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Ограничения участия отдельных категорий физических лиц и юридических лиц в приватизации имущества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shd w:fill="auto" w:val="clear"/>
                <w:lang w:eastAsia="ru-RU"/>
              </w:rPr>
              <w:t xml:space="preserve">Покупателями государственного имущества могут быть любые физические и юридические лица, за исключением 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shd w:fill="auto" w:val="clear"/>
                <w:lang w:eastAsia="ru-RU"/>
              </w:rPr>
              <w:t>случаев ограничения участия лиц, предусмотренных статьей 5 Федерального закона от 21 декабря 2001 г. № 178-ФЗ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shd w:fill="auto" w:val="clear"/>
                <w:lang w:eastAsia="ru-RU"/>
              </w:rPr>
              <w:t>:</w:t>
            </w:r>
          </w:p>
          <w:p>
            <w:pPr>
              <w:pStyle w:val="Normal"/>
              <w:spacing w:lineRule="auto" w:line="240" w:before="0" w:after="0"/>
              <w:jc w:val="both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shd w:fill="auto" w:val="clear"/>
                <w:lang w:eastAsia="ru-RU"/>
              </w:rPr>
              <w:t>государственных и муниципальных унитарных предприятий, государственных и муниципальных учреждений;</w:t>
            </w:r>
          </w:p>
          <w:p>
            <w:pPr>
              <w:pStyle w:val="Normal"/>
              <w:spacing w:lineRule="auto" w:line="240" w:before="0" w:after="0"/>
              <w:jc w:val="both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shd w:fill="auto" w:val="clear"/>
                <w:lang w:eastAsia="ru-RU"/>
              </w:rPr>
              <w:t>юридических лиц, в уставном капитале которых доля Российской Федерации, субъектов Российской Федерации и муниципальных образований превышает 25 процентов, кроме случаев, предусмотренных статьей 25 Федерального закона;</w:t>
            </w:r>
          </w:p>
          <w:p>
            <w:pPr>
              <w:pStyle w:val="Normal"/>
              <w:spacing w:lineRule="auto" w:line="240" w:before="0" w:after="0"/>
              <w:jc w:val="both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shd w:fill="auto" w:val="clear"/>
                <w:lang w:eastAsia="ru-RU"/>
              </w:rPr>
              <w:t>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 (далее - офшорные компании);</w:t>
            </w:r>
          </w:p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shd w:fill="auto" w:val="clear"/>
                <w:lang w:eastAsia="ru-RU"/>
              </w:rPr>
              <w:t>юридических лиц, в отношении которых офшорной компанией или группой лиц, в которую входит офшорная компания, осуществляется контроль.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/>
              <w:suppressAutoHyphens w:val="true"/>
              <w:bidi w:val="0"/>
              <w:spacing w:lineRule="auto" w:line="240" w:before="0" w:after="0"/>
              <w:ind w:hanging="0" w:left="0" w:right="0"/>
              <w:contextualSpacing/>
              <w:jc w:val="center"/>
              <w:rPr/>
            </w:pPr>
            <w:r>
              <w:rPr/>
              <w:t>15.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Порядок определения победителей при проведении аукциона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firstLine="720" w:left="0" w:right="0"/>
              <w:jc w:val="both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cs="Times New Roman CYR" w:ascii="Times New Roman CYR" w:hAnsi="Times New Roman CYR"/>
                <w:sz w:val="24"/>
                <w:szCs w:val="24"/>
                <w:lang w:eastAsia="ru-RU"/>
              </w:rPr>
              <w:t>В течение одного часа со времени начала проведения процедуры аукциона участникам предлагается заявить о приобретении имущества по начальной цене. В случае если в течение указанного времени: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720" w:left="0" w:right="0"/>
              <w:jc w:val="both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cs="Times New Roman CYR" w:ascii="Times New Roman CYR" w:hAnsi="Times New Roman CYR"/>
                <w:sz w:val="24"/>
                <w:szCs w:val="24"/>
                <w:lang w:eastAsia="ru-RU"/>
              </w:rPr>
              <w:t>а) поступило предложение о начальной цене имущества, то время для представления следующих предложений об увеличенной на "шаг аукциона" цене имущества продлевается на 10 минут со времени представления каждого следующего предложения. Если в течение 10 минут после представления последнего предложения о цене имущества следующее предложение не поступило, аукцион с помощью программно-аппаратных средств электронной площадки завершается;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720" w:left="0" w:right="0"/>
              <w:jc w:val="both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bookmarkStart w:id="4" w:name="sub_80"/>
            <w:bookmarkEnd w:id="4"/>
            <w:r>
              <w:rPr>
                <w:rFonts w:cs="Times New Roman CYR" w:ascii="Times New Roman CYR" w:hAnsi="Times New Roman CYR"/>
                <w:sz w:val="24"/>
                <w:szCs w:val="24"/>
                <w:lang w:eastAsia="ru-RU"/>
              </w:rPr>
              <w:t>б) не поступило ни одного предложения о начальной цене имущества, то аукцион с помощью программно-аппаратных средств электронной площадки завершается. В этом случае временем окончания представления предложений о цене имущества является время завершения аукциона.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720" w:left="0" w:right="0"/>
              <w:jc w:val="both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bookmarkStart w:id="5" w:name="sub_84"/>
            <w:bookmarkStart w:id="6" w:name="sub_801"/>
            <w:bookmarkEnd w:id="5"/>
            <w:bookmarkEnd w:id="6"/>
            <w:r>
              <w:rPr>
                <w:rFonts w:cs="Times New Roman CYR" w:ascii="Times New Roman CYR" w:hAnsi="Times New Roman CYR"/>
                <w:sz w:val="24"/>
                <w:szCs w:val="24"/>
                <w:lang w:eastAsia="ru-RU"/>
              </w:rPr>
              <w:t>При этом программными средствами электронной площадки обеспечивается: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720" w:left="0" w:right="0"/>
              <w:jc w:val="both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bookmarkStart w:id="7" w:name="sub_841"/>
            <w:bookmarkStart w:id="8" w:name="sub_82"/>
            <w:bookmarkEnd w:id="7"/>
            <w:bookmarkEnd w:id="8"/>
            <w:r>
              <w:rPr>
                <w:rFonts w:cs="Times New Roman CYR" w:ascii="Times New Roman CYR" w:hAnsi="Times New Roman CYR"/>
                <w:sz w:val="24"/>
                <w:szCs w:val="24"/>
                <w:lang w:eastAsia="ru-RU"/>
              </w:rPr>
              <w:t>а) исключение возможности подачи участником предложения о цене имущества, не соответствующего увеличению текущей цены на величину "шага аукциона";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720" w:left="0" w:right="0"/>
              <w:jc w:val="both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bookmarkStart w:id="9" w:name="sub_821"/>
            <w:bookmarkStart w:id="10" w:name="sub_83"/>
            <w:bookmarkEnd w:id="9"/>
            <w:bookmarkEnd w:id="10"/>
            <w:r>
              <w:rPr>
                <w:rFonts w:cs="Times New Roman CYR" w:ascii="Times New Roman CYR" w:hAnsi="Times New Roman CYR"/>
                <w:sz w:val="24"/>
                <w:szCs w:val="24"/>
                <w:lang w:eastAsia="ru-RU"/>
              </w:rPr>
              <w:t>б) уведомление участника в случае, если предложение этого участника о цене имущества не может быть принято в связи с подачей аналогичного предложения ранее другим участником.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720" w:left="0" w:right="0"/>
              <w:jc w:val="both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bookmarkStart w:id="11" w:name="sub_831"/>
            <w:bookmarkEnd w:id="11"/>
            <w:r>
              <w:rPr>
                <w:rFonts w:cs="Times New Roman CYR" w:ascii="Times New Roman CYR" w:hAnsi="Times New Roman CYR"/>
                <w:sz w:val="24"/>
                <w:szCs w:val="24"/>
                <w:lang w:eastAsia="ru-RU"/>
              </w:rPr>
              <w:t>Победителем признается участник, предложивший наиболее высокую цену имущества.</w:t>
            </w:r>
            <w:bookmarkStart w:id="12" w:name="sub_85"/>
            <w:bookmarkEnd w:id="12"/>
          </w:p>
          <w:p>
            <w:pPr>
              <w:pStyle w:val="Normal"/>
              <w:widowControl w:val="false"/>
              <w:spacing w:lineRule="auto" w:line="240" w:before="0" w:after="0"/>
              <w:ind w:firstLine="720" w:left="0" w:right="0"/>
              <w:jc w:val="both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cs="Times New Roman CYR" w:ascii="Times New Roman CYR" w:hAnsi="Times New Roman CYR"/>
                <w:sz w:val="24"/>
                <w:szCs w:val="24"/>
                <w:lang w:eastAsia="ru-RU"/>
              </w:rPr>
              <w:t>Процедура аукциона считается завершенной со времени подписания продавцом протокола об итогах аукциона.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720" w:left="0" w:right="0"/>
              <w:jc w:val="both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bookmarkStart w:id="13" w:name="sub_92"/>
            <w:bookmarkEnd w:id="13"/>
            <w:r>
              <w:rPr>
                <w:rFonts w:cs="Times New Roman CYR" w:ascii="Times New Roman CYR" w:hAnsi="Times New Roman CYR"/>
                <w:sz w:val="24"/>
                <w:szCs w:val="24"/>
                <w:lang w:eastAsia="ru-RU"/>
              </w:rPr>
              <w:t>Аукцион признается несостоявшимся в следующих случаях: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720" w:left="0" w:right="0"/>
              <w:jc w:val="both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bookmarkStart w:id="14" w:name="sub_89"/>
            <w:bookmarkStart w:id="15" w:name="sub_921"/>
            <w:bookmarkEnd w:id="14"/>
            <w:bookmarkEnd w:id="15"/>
            <w:r>
              <w:rPr>
                <w:rFonts w:cs="Times New Roman CYR" w:ascii="Times New Roman CYR" w:hAnsi="Times New Roman CYR"/>
                <w:sz w:val="24"/>
                <w:szCs w:val="24"/>
                <w:lang w:eastAsia="ru-RU"/>
              </w:rPr>
              <w:t>а) не было подано ни одной заявки на участие либо ни один из претендентов не признан участником;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720" w:left="0" w:right="0"/>
              <w:jc w:val="both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bookmarkStart w:id="16" w:name="sub_90"/>
            <w:bookmarkStart w:id="17" w:name="sub_891"/>
            <w:bookmarkEnd w:id="16"/>
            <w:bookmarkEnd w:id="17"/>
            <w:r>
              <w:rPr>
                <w:rFonts w:cs="Times New Roman CYR" w:ascii="Times New Roman CYR" w:hAnsi="Times New Roman CYR"/>
                <w:sz w:val="24"/>
                <w:szCs w:val="24"/>
                <w:lang w:eastAsia="ru-RU"/>
              </w:rPr>
              <w:t>б) принято решение о признании только одного претендента участником;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720" w:left="0" w:right="0"/>
              <w:jc w:val="both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bookmarkStart w:id="18" w:name="sub_901"/>
            <w:bookmarkEnd w:id="18"/>
            <w:r>
              <w:rPr>
                <w:rFonts w:cs="Times New Roman CYR" w:ascii="Times New Roman CYR" w:hAnsi="Times New Roman CYR"/>
                <w:sz w:val="24"/>
                <w:szCs w:val="24"/>
                <w:lang w:eastAsia="ru-RU"/>
              </w:rPr>
              <w:t>в) ни один из участников не сделал предложение о начальной цене имущества.</w:t>
            </w:r>
          </w:p>
        </w:tc>
      </w:tr>
    </w:tbl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Приложение № 1</w:t>
      </w:r>
    </w:p>
    <w:p>
      <w:pPr>
        <w:pStyle w:val="Normal"/>
        <w:spacing w:lineRule="auto" w:line="240" w:before="0" w:after="0"/>
        <w:jc w:val="center"/>
        <w:rPr>
          <w:sz w:val="22"/>
          <w:szCs w:val="22"/>
        </w:rPr>
      </w:pPr>
      <w:r>
        <w:rPr>
          <w:rFonts w:cs="Times New Roman" w:ascii="Times New Roman" w:hAnsi="Times New Roman"/>
          <w:b/>
          <w:sz w:val="22"/>
          <w:szCs w:val="22"/>
        </w:rPr>
        <w:t>Перечень высвобождаемого движимого военного имущества</w:t>
      </w:r>
    </w:p>
    <w:p>
      <w:pPr>
        <w:pStyle w:val="Normal"/>
        <w:spacing w:lineRule="auto" w:line="240" w:before="0" w:after="0"/>
        <w:jc w:val="both"/>
        <w:rPr>
          <w:sz w:val="22"/>
          <w:szCs w:val="22"/>
        </w:rPr>
      </w:pPr>
      <w:r>
        <w:rPr>
          <w:sz w:val="22"/>
          <w:szCs w:val="22"/>
        </w:rPr>
      </w:r>
    </w:p>
    <w:tbl>
      <w:tblPr>
        <w:tblW w:w="9775" w:type="dxa"/>
        <w:jc w:val="left"/>
        <w:tblInd w:w="7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637"/>
        <w:gridCol w:w="4350"/>
        <w:gridCol w:w="921"/>
        <w:gridCol w:w="1174"/>
        <w:gridCol w:w="2693"/>
      </w:tblGrid>
      <w:tr>
        <w:trPr>
          <w:tblHeader w:val="true"/>
          <w:trHeight w:val="1464" w:hRule="atLeast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 xml:space="preserve">№ </w:t>
            </w:r>
            <w:r>
              <w:rPr>
                <w:rFonts w:ascii="Times New Roman" w:hAnsi="Times New Roman"/>
                <w:bCs/>
                <w:sz w:val="22"/>
                <w:szCs w:val="22"/>
              </w:rPr>
              <w:t>п/п</w:t>
            </w:r>
          </w:p>
        </w:tc>
        <w:tc>
          <w:tcPr>
            <w:tcW w:w="435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>Наименование имущества</w:t>
            </w:r>
          </w:p>
        </w:tc>
        <w:tc>
          <w:tcPr>
            <w:tcW w:w="9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>Ед. изм.</w:t>
            </w:r>
          </w:p>
        </w:tc>
        <w:tc>
          <w:tcPr>
            <w:tcW w:w="117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>Кол-во</w:t>
            </w:r>
          </w:p>
        </w:tc>
        <w:tc>
          <w:tcPr>
            <w:tcW w:w="26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>Качественное состояние (техническое состояние, категория)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23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435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3"/>
              <w:spacing w:before="0" w:after="0"/>
              <w:jc w:val="left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Ботинки хромовые утепленные с системой противоскольжения для сотрудников авиации МВД</w:t>
            </w:r>
          </w:p>
        </w:tc>
        <w:tc>
          <w:tcPr>
            <w:tcW w:w="921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3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пар.</w:t>
            </w:r>
          </w:p>
        </w:tc>
        <w:tc>
          <w:tcPr>
            <w:tcW w:w="117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user3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2</w:t>
            </w:r>
          </w:p>
        </w:tc>
        <w:tc>
          <w:tcPr>
            <w:tcW w:w="2693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3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1 категория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23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435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3"/>
              <w:spacing w:before="0" w:after="0"/>
              <w:jc w:val="left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Ботинки на шнур.с системой противоскальжения для сотрудников АОСН (старого образца)</w:t>
            </w:r>
          </w:p>
        </w:tc>
        <w:tc>
          <w:tcPr>
            <w:tcW w:w="921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3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пар.</w:t>
            </w:r>
          </w:p>
        </w:tc>
        <w:tc>
          <w:tcPr>
            <w:tcW w:w="117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user3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1</w:t>
            </w:r>
          </w:p>
        </w:tc>
        <w:tc>
          <w:tcPr>
            <w:tcW w:w="2693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3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1 категория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23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435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3"/>
              <w:spacing w:before="0" w:after="0"/>
              <w:jc w:val="left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Ботинки полетные с высокими берцами для сотрудников АОСН (старого образца)</w:t>
            </w:r>
          </w:p>
        </w:tc>
        <w:tc>
          <w:tcPr>
            <w:tcW w:w="921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3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пар.</w:t>
            </w:r>
          </w:p>
        </w:tc>
        <w:tc>
          <w:tcPr>
            <w:tcW w:w="117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user3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1</w:t>
            </w:r>
          </w:p>
        </w:tc>
        <w:tc>
          <w:tcPr>
            <w:tcW w:w="2693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3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1 категория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23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435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3"/>
              <w:spacing w:before="0" w:after="0"/>
              <w:jc w:val="left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Ботинки хромовые утепленные с системой противоскальжения сотрудников авиации (старого образца)</w:t>
            </w:r>
          </w:p>
        </w:tc>
        <w:tc>
          <w:tcPr>
            <w:tcW w:w="921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3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пар.</w:t>
            </w:r>
          </w:p>
        </w:tc>
        <w:tc>
          <w:tcPr>
            <w:tcW w:w="117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user3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1</w:t>
            </w:r>
          </w:p>
        </w:tc>
        <w:tc>
          <w:tcPr>
            <w:tcW w:w="2693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3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1 категория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23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</w:t>
            </w:r>
          </w:p>
        </w:tc>
        <w:tc>
          <w:tcPr>
            <w:tcW w:w="435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3"/>
              <w:spacing w:before="0" w:after="0"/>
              <w:jc w:val="left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Головной убор женский для лечащего врача (старого образца)</w:t>
            </w:r>
          </w:p>
        </w:tc>
        <w:tc>
          <w:tcPr>
            <w:tcW w:w="921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3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17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user3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73</w:t>
            </w:r>
          </w:p>
        </w:tc>
        <w:tc>
          <w:tcPr>
            <w:tcW w:w="2693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3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1 категория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23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</w:t>
            </w:r>
          </w:p>
        </w:tc>
        <w:tc>
          <w:tcPr>
            <w:tcW w:w="435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3"/>
              <w:spacing w:before="0" w:after="0"/>
              <w:jc w:val="left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Головной убор медицинский (старого образца)</w:t>
            </w:r>
          </w:p>
        </w:tc>
        <w:tc>
          <w:tcPr>
            <w:tcW w:w="921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3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17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user3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225</w:t>
            </w:r>
          </w:p>
        </w:tc>
        <w:tc>
          <w:tcPr>
            <w:tcW w:w="2693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3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1 категория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23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7</w:t>
            </w:r>
          </w:p>
        </w:tc>
        <w:tc>
          <w:tcPr>
            <w:tcW w:w="435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3"/>
              <w:spacing w:before="0" w:after="0"/>
              <w:jc w:val="left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Кепи летнее камуфлированной зеленой расцветки тип А для спецподразделений</w:t>
            </w:r>
          </w:p>
        </w:tc>
        <w:tc>
          <w:tcPr>
            <w:tcW w:w="921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3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17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user3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116</w:t>
            </w:r>
          </w:p>
        </w:tc>
        <w:tc>
          <w:tcPr>
            <w:tcW w:w="2693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3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1 категория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23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8</w:t>
            </w:r>
          </w:p>
        </w:tc>
        <w:tc>
          <w:tcPr>
            <w:tcW w:w="435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3"/>
              <w:spacing w:before="0" w:after="0"/>
              <w:jc w:val="left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Колпак медицинский (старого образца)</w:t>
            </w:r>
          </w:p>
        </w:tc>
        <w:tc>
          <w:tcPr>
            <w:tcW w:w="921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3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17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user3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33</w:t>
            </w:r>
          </w:p>
        </w:tc>
        <w:tc>
          <w:tcPr>
            <w:tcW w:w="2693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3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1 категория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23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</w:t>
            </w:r>
          </w:p>
        </w:tc>
        <w:tc>
          <w:tcPr>
            <w:tcW w:w="435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3"/>
              <w:spacing w:before="0" w:after="0"/>
              <w:jc w:val="left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Колпаки медицинские (старого образца)</w:t>
            </w:r>
          </w:p>
        </w:tc>
        <w:tc>
          <w:tcPr>
            <w:tcW w:w="921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3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17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user3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5</w:t>
            </w:r>
          </w:p>
        </w:tc>
        <w:tc>
          <w:tcPr>
            <w:tcW w:w="2693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3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1 категория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23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</w:t>
            </w:r>
          </w:p>
        </w:tc>
        <w:tc>
          <w:tcPr>
            <w:tcW w:w="435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3"/>
              <w:spacing w:before="0" w:after="0"/>
              <w:jc w:val="left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Костюм ветровлагозащитный камуфлированной серой расцветки для спецподразделений</w:t>
            </w:r>
          </w:p>
        </w:tc>
        <w:tc>
          <w:tcPr>
            <w:tcW w:w="921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3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комп.</w:t>
            </w:r>
          </w:p>
        </w:tc>
        <w:tc>
          <w:tcPr>
            <w:tcW w:w="117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user3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1</w:t>
            </w:r>
          </w:p>
        </w:tc>
        <w:tc>
          <w:tcPr>
            <w:tcW w:w="2693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3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1 категория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23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11</w:t>
            </w:r>
          </w:p>
        </w:tc>
        <w:tc>
          <w:tcPr>
            <w:tcW w:w="435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3"/>
              <w:spacing w:before="0" w:after="0"/>
              <w:jc w:val="left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Костюм ветровлагозащитный черного цвета для спецподразделений (старого образца)</w:t>
            </w:r>
          </w:p>
        </w:tc>
        <w:tc>
          <w:tcPr>
            <w:tcW w:w="921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3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комп.</w:t>
            </w:r>
          </w:p>
        </w:tc>
        <w:tc>
          <w:tcPr>
            <w:tcW w:w="117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user3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1</w:t>
            </w:r>
          </w:p>
        </w:tc>
        <w:tc>
          <w:tcPr>
            <w:tcW w:w="2693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3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1 категория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23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12</w:t>
            </w:r>
          </w:p>
        </w:tc>
        <w:tc>
          <w:tcPr>
            <w:tcW w:w="435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3"/>
              <w:spacing w:before="0" w:after="0"/>
              <w:jc w:val="left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Погоны съемные оливкового цвета с 1 краповыми просветами (защитного цвета, старого образца)</w:t>
            </w:r>
          </w:p>
        </w:tc>
        <w:tc>
          <w:tcPr>
            <w:tcW w:w="921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3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пар.</w:t>
            </w:r>
          </w:p>
        </w:tc>
        <w:tc>
          <w:tcPr>
            <w:tcW w:w="117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user3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5</w:t>
            </w:r>
          </w:p>
        </w:tc>
        <w:tc>
          <w:tcPr>
            <w:tcW w:w="2693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3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1 категория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23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435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3"/>
              <w:spacing w:before="0" w:after="0"/>
              <w:jc w:val="left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Погоны съемные оливкового цвета с 2 краповыми просветами (защитного цвета, старого образца)</w:t>
            </w:r>
          </w:p>
        </w:tc>
        <w:tc>
          <w:tcPr>
            <w:tcW w:w="921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3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пар.</w:t>
            </w:r>
          </w:p>
        </w:tc>
        <w:tc>
          <w:tcPr>
            <w:tcW w:w="117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user3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2</w:t>
            </w:r>
          </w:p>
        </w:tc>
        <w:tc>
          <w:tcPr>
            <w:tcW w:w="2693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3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1 категория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23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  <w:tc>
          <w:tcPr>
            <w:tcW w:w="435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3"/>
              <w:spacing w:before="0" w:after="200"/>
              <w:jc w:val="left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Шилья прямые с ручками</w:t>
            </w:r>
          </w:p>
        </w:tc>
        <w:tc>
          <w:tcPr>
            <w:tcW w:w="921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3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17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user3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5</w:t>
            </w:r>
          </w:p>
        </w:tc>
        <w:tc>
          <w:tcPr>
            <w:tcW w:w="2693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3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1 категория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23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435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3"/>
              <w:spacing w:before="0" w:after="200"/>
              <w:jc w:val="left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Шилья сапожные кривые</w:t>
            </w:r>
          </w:p>
        </w:tc>
        <w:tc>
          <w:tcPr>
            <w:tcW w:w="921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3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17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user3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9</w:t>
            </w:r>
          </w:p>
        </w:tc>
        <w:tc>
          <w:tcPr>
            <w:tcW w:w="2693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3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1 категория</w:t>
            </w:r>
          </w:p>
        </w:tc>
      </w:tr>
    </w:tbl>
    <w:p>
      <w:pPr>
        <w:pStyle w:val="Normal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</w:r>
    </w:p>
    <w:p>
      <w:pPr>
        <w:pStyle w:val="Normal"/>
        <w:jc w:val="both"/>
        <w:rPr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 xml:space="preserve">Место нахождения имущества: </w:t>
      </w:r>
      <w:r>
        <w:rPr>
          <w:rFonts w:eastAsia="Calibri" w:cs="Times New Roman" w:ascii="Times New Roman" w:hAnsi="Times New Roman"/>
          <w:b w:val="false"/>
          <w:i w:val="false"/>
          <w:strike w:val="false"/>
          <w:dstrike w:val="false"/>
          <w:outline w:val="false"/>
          <w:shadow w:val="false"/>
          <w:color w:val="auto"/>
          <w:kern w:val="0"/>
          <w:sz w:val="22"/>
          <w:szCs w:val="22"/>
          <w:u w:val="none"/>
          <w:em w:val="none"/>
          <w:lang w:val="ru-RU" w:eastAsia="en-US" w:bidi="ar-SA"/>
        </w:rPr>
        <w:t xml:space="preserve"> Управление Росгвардии по Сахалинской области, 693004, г.Южно-Сахалинск, ул. Ленина, д.495</w:t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spacing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Приложение № 2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numPr>
          <w:ilvl w:val="0"/>
          <w:numId w:val="0"/>
        </w:numPr>
        <w:tabs>
          <w:tab w:val="clear" w:pos="408"/>
          <w:tab w:val="left" w:pos="576" w:leader="none"/>
        </w:tabs>
        <w:spacing w:lineRule="auto" w:line="240" w:before="0" w:after="0"/>
        <w:ind w:hanging="576" w:left="576" w:right="0"/>
        <w:contextualSpacing/>
        <w:jc w:val="center"/>
        <w:outlineLvl w:val="1"/>
        <w:rPr/>
      </w:pPr>
      <w:bookmarkStart w:id="19" w:name="_Toc222021414"/>
      <w:r>
        <w:rPr>
          <w:rFonts w:eastAsia="Times New Roman" w:cs="Times New Roman" w:ascii="Arial" w:hAnsi="Arial"/>
          <w:b/>
          <w:iCs/>
          <w:caps/>
          <w:color w:val="000000"/>
          <w:sz w:val="24"/>
          <w:szCs w:val="24"/>
          <w:lang w:eastAsia="ru-RU"/>
        </w:rPr>
        <w:t>ФОРМА ЗАЯВКИ НА УЧАСТИЕ В</w:t>
      </w:r>
      <w:bookmarkEnd w:id="19"/>
      <w:r>
        <w:rPr>
          <w:rFonts w:eastAsia="Times New Roman" w:cs="Times New Roman" w:ascii="Arial" w:hAnsi="Arial"/>
          <w:b/>
          <w:iCs/>
          <w:caps/>
          <w:color w:val="000000"/>
          <w:sz w:val="24"/>
          <w:szCs w:val="24"/>
          <w:lang w:eastAsia="ru-RU"/>
        </w:rPr>
        <w:t xml:space="preserve"> торгах</w:t>
      </w:r>
    </w:p>
    <w:p>
      <w:pPr>
        <w:pStyle w:val="Normal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(для физического лица)</w:t>
      </w:r>
    </w:p>
    <w:p>
      <w:pPr>
        <w:pStyle w:val="Normal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 xml:space="preserve"> </w:t>
      </w:r>
    </w:p>
    <w:p>
      <w:pPr>
        <w:pStyle w:val="Normal"/>
        <w:widowControl w:val="false"/>
        <w:spacing w:lineRule="auto" w:line="24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1. Изучив условия документации в лице ________________________________________________</w:t>
      </w:r>
    </w:p>
    <w:p>
      <w:pPr>
        <w:pStyle w:val="Normal"/>
        <w:widowControl w:val="false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color w:val="000000"/>
          <w:sz w:val="24"/>
          <w:vertAlign w:val="superscript"/>
        </w:rPr>
      </w:pP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>(Ф.И.О.)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сообщаю о согласии принять участие в торгах посредством публичного предложения и в случае признания победителем, заключить с Продавцом договор купли-продажи высвобождаемого движимого военного имущества. 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>2. Сообщаю о себе:</w:t>
      </w:r>
    </w:p>
    <w:p>
      <w:pPr>
        <w:pStyle w:val="Normal"/>
        <w:spacing w:lineRule="auto" w:line="36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Адрес места регистрации: 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Почтовый адрес: 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Телефон___________________________________________________________________________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Факс______________________________________________________________________________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Электронный адрес__________________________________________________________________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Паспорт___________________________________________________________________________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ИНН ______________________________________________________________________________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jc w:val="both"/>
        <w:rPr/>
      </w:pPr>
      <w:r>
        <w:rPr>
          <w:rFonts w:eastAsia="Times New Roman" w:cs="Times New Roman" w:ascii="Times New Roman" w:hAnsi="Times New Roman"/>
          <w:sz w:val="24"/>
          <w:szCs w:val="24"/>
        </w:rPr>
        <w:t>Фамилии лиц, уполномоченных действовать от имени  претендента (доверенность прикладывается)</w:t>
      </w:r>
      <w:r>
        <w:rPr>
          <w:rFonts w:eastAsia="Times New Roman" w:cs="Times New Roman" w:ascii="Courier New" w:hAnsi="Courier New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4"/>
        </w:rPr>
        <w:t>___________________________________________________________________________________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3. В случае объявления меня победителем, обязуюсь подписать договор в течение 5 дней.</w:t>
      </w:r>
    </w:p>
    <w:p>
      <w:pPr>
        <w:pStyle w:val="Normal"/>
        <w:spacing w:lineRule="auto" w:line="240" w:before="0" w:after="0"/>
        <w:contextualSpacing/>
        <w:jc w:val="both"/>
        <w:rPr/>
      </w:pPr>
      <w:r>
        <w:rPr>
          <w:rFonts w:eastAsia="Times New Roman" w:cs="Times New Roman" w:ascii="Times New Roman" w:hAnsi="Times New Roman"/>
          <w:color w:val="000000"/>
          <w:sz w:val="24"/>
        </w:rPr>
        <w:t>_______________________                ____________________________</w:t>
      </w: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 xml:space="preserve">                                        </w:t>
        <w:tab/>
        <w:t xml:space="preserve">                               (подпись)</w:t>
      </w:r>
      <w:r>
        <w:rPr>
          <w:rFonts w:eastAsia="Times New Roman" w:cs="Times New Roman" w:ascii="Times New Roman" w:hAnsi="Times New Roman"/>
          <w:color w:val="000000"/>
          <w:sz w:val="24"/>
        </w:rPr>
        <w:t xml:space="preserve">                                                       </w:t>
      </w: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>(Фамилия И.О.)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Приложение № 3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numPr>
          <w:ilvl w:val="0"/>
          <w:numId w:val="0"/>
        </w:numPr>
        <w:tabs>
          <w:tab w:val="clear" w:pos="408"/>
          <w:tab w:val="left" w:pos="576" w:leader="none"/>
        </w:tabs>
        <w:spacing w:lineRule="auto" w:line="240" w:before="0" w:after="0"/>
        <w:ind w:hanging="576" w:left="576" w:right="0"/>
        <w:contextualSpacing/>
        <w:jc w:val="center"/>
        <w:outlineLvl w:val="1"/>
        <w:rPr>
          <w:rFonts w:ascii="Arial" w:hAnsi="Arial" w:eastAsia="Times New Roman" w:cs="Times New Roman"/>
          <w:b/>
          <w:iCs/>
          <w:caps/>
          <w:color w:val="000000"/>
          <w:sz w:val="24"/>
          <w:szCs w:val="24"/>
          <w:lang w:eastAsia="ru-RU"/>
        </w:rPr>
      </w:pPr>
      <w:r>
        <w:rPr>
          <w:rFonts w:eastAsia="Times New Roman" w:cs="Times New Roman" w:ascii="Arial" w:hAnsi="Arial"/>
          <w:b/>
          <w:iCs/>
          <w:caps/>
          <w:color w:val="000000"/>
          <w:sz w:val="24"/>
          <w:szCs w:val="24"/>
          <w:lang w:eastAsia="ru-RU"/>
        </w:rPr>
        <w:t>ФОРМА ЗАЯВКИ НА УЧАСТИЕ В торгах</w:t>
      </w:r>
    </w:p>
    <w:p>
      <w:pPr>
        <w:pStyle w:val="Normal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для юридического лица</w:t>
      </w:r>
    </w:p>
    <w:p>
      <w:pPr>
        <w:pStyle w:val="Normal"/>
        <w:widowControl w:val="false"/>
        <w:spacing w:lineRule="auto" w:line="240" w:before="60" w:after="0"/>
        <w:contextualSpacing/>
        <w:jc w:val="center"/>
        <w:textAlignment w:val="baseline"/>
        <w:rPr>
          <w:rFonts w:ascii="Times New Roman" w:hAnsi="Times New Roman" w:eastAsia="Times New Roman" w:cs="Times New Roman"/>
          <w:sz w:val="24"/>
          <w:szCs w:val="20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0"/>
          <w:lang w:eastAsia="ru-RU"/>
        </w:rPr>
      </w:r>
    </w:p>
    <w:p>
      <w:pPr>
        <w:pStyle w:val="Normal"/>
        <w:widowControl w:val="false"/>
        <w:spacing w:lineRule="auto" w:line="24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1. Изучив условия документации</w:t>
      </w:r>
    </w:p>
    <w:p>
      <w:pPr>
        <w:pStyle w:val="Normal"/>
        <w:widowControl w:val="false"/>
        <w:spacing w:lineRule="auto" w:line="24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__________________________________________________________________________________,</w:t>
      </w:r>
    </w:p>
    <w:p>
      <w:pPr>
        <w:pStyle w:val="Normal"/>
        <w:widowControl w:val="false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color w:val="000000"/>
          <w:sz w:val="24"/>
          <w:vertAlign w:val="superscript"/>
        </w:rPr>
      </w:pP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>(наименование организации)</w:t>
      </w:r>
    </w:p>
    <w:p>
      <w:pPr>
        <w:pStyle w:val="Normal"/>
        <w:widowControl w:val="false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в лице _____________________________________________________________________________</w:t>
      </w:r>
    </w:p>
    <w:p>
      <w:pPr>
        <w:pStyle w:val="Normal"/>
        <w:widowControl w:val="false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color w:val="000000"/>
          <w:sz w:val="24"/>
          <w:vertAlign w:val="superscript"/>
        </w:rPr>
      </w:pP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>(наименование должности руководителя и его Ф.И.О.)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сообщает о согласии принять участие в торгах посредством публичного предложения и в случае признания победителем, заключить с Продавцом договор купли-продажи высвобождаемого движимого военного имущества 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>2. Сообщаем о себе следующее: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Наименование организации:  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Местонахождение: 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Почтовый адрес: 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Телефон:___________________________________________________________________________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Факс:______________________________________________________________________________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электронный адрес:__________________________________________________________________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Организационно - правовая форма: 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Дата, место и орган регистрации организации: __________________________________________ __________________________________________________________________________________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ИНН______________________________________________________________________________</w:t>
      </w:r>
    </w:p>
    <w:p>
      <w:pPr>
        <w:pStyle w:val="Normal"/>
        <w:widowControl w:val="false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КПП______________________________________________________________________________</w:t>
      </w:r>
    </w:p>
    <w:p>
      <w:pPr>
        <w:pStyle w:val="Normal"/>
        <w:widowControl w:val="false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ОГРН_____________________________________________________________________________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Банковские реквизиты: 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БИК______________________________________________________________________________</w:t>
      </w:r>
    </w:p>
    <w:p>
      <w:pPr>
        <w:pStyle w:val="Normal"/>
        <w:widowControl w:val="false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Фамилии лиц, уполномоченных действовать от имени организации с правом подписи юридических и банковских документов ___________________________________________________________________________________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3. В случае объявления нас победителем, обязуемся подписать договор в течение 5 дней.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sz w:val="24"/>
        </w:rPr>
      </w:pPr>
      <w:r>
        <w:rPr>
          <w:rFonts w:eastAsia="Times New Roman" w:cs="Times New Roman" w:ascii="Times New Roman" w:hAnsi="Times New Roman"/>
          <w:sz w:val="24"/>
        </w:rPr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Руководитель                ________________________                ____________________________</w:t>
      </w:r>
    </w:p>
    <w:p>
      <w:pPr>
        <w:pStyle w:val="Normal"/>
        <w:widowControl w:val="false"/>
        <w:spacing w:lineRule="auto" w:line="360" w:before="0" w:after="0"/>
        <w:contextualSpacing/>
        <w:jc w:val="both"/>
        <w:rPr/>
      </w:pP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 xml:space="preserve">                                        </w:t>
      </w: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ab/>
        <w:t xml:space="preserve">                            (подпись)</w:t>
      </w:r>
      <w:r>
        <w:rPr>
          <w:rFonts w:eastAsia="Times New Roman" w:cs="Times New Roman" w:ascii="Times New Roman" w:hAnsi="Times New Roman"/>
          <w:color w:val="000000"/>
          <w:sz w:val="24"/>
        </w:rPr>
        <w:t xml:space="preserve">                                                       </w:t>
      </w: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>(Фамилия И.О.)</w:t>
      </w:r>
    </w:p>
    <w:p>
      <w:pPr>
        <w:pStyle w:val="Normal"/>
        <w:spacing w:lineRule="auto" w:line="240" w:before="0" w:after="0"/>
        <w:rPr/>
      </w:pPr>
      <w:r>
        <w:rPr/>
      </w:r>
    </w:p>
    <w:sectPr>
      <w:type w:val="nextPage"/>
      <w:pgSz w:w="11906" w:h="16838"/>
      <w:pgMar w:left="1134" w:right="624" w:gutter="0" w:header="0" w:top="624" w:footer="0" w:bottom="624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Times New Roman">
    <w:charset w:val="01"/>
    <w:family w:val="roman"/>
    <w:pitch w:val="default"/>
  </w:font>
  <w:font w:name="Courier New">
    <w:charset w:val="01"/>
    <w:family w:val="roman"/>
    <w:pitch w:val="default"/>
  </w:font>
  <w:font w:name="Arial">
    <w:charset w:val="01"/>
    <w:family w:val="swiss"/>
    <w:pitch w:val="default"/>
  </w:font>
  <w:font w:name="Tahoma">
    <w:charset w:val="01"/>
    <w:family w:val="roman"/>
    <w:pitch w:val="default"/>
  </w:font>
  <w:font w:name="Arial Unicode MS">
    <w:charset w:val="01"/>
    <w:family w:val="roman"/>
    <w:pitch w:val="default"/>
  </w:font>
  <w:font w:name="Liberation Sans">
    <w:altName w:val="Arial"/>
    <w:charset w:val="01"/>
    <w:family w:val="roman"/>
    <w:pitch w:val="default"/>
  </w:font>
  <w:font w:name="PT Astra Serif">
    <w:charset w:val="01"/>
    <w:family w:val="roman"/>
    <w:pitch w:val="default"/>
  </w:font>
  <w:font w:name="Tinos">
    <w:charset w:val="01"/>
    <w:family w:val="roman"/>
    <w:pitch w:val="default"/>
  </w:font>
  <w:font w:name="Times New Roman CYR">
    <w:charset w:val="01"/>
    <w:family w:val="roman"/>
    <w:pitch w:val="default"/>
  </w:font>
  <w:font w:name="TimesNewRomanPSMT">
    <w:charset w:val="01"/>
    <w:family w:val="roman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2.%3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3.%4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4.%5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5.%6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6.%7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7.%8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8.%9"/>
      <w:lvlJc w:val="left"/>
      <w:pPr>
        <w:tabs>
          <w:tab w:val="num" w:pos="3600"/>
        </w:tabs>
        <w:ind w:left="3600" w:hanging="36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20"/>
  <w:defaultTabStop w:val="408"/>
  <w:autoHyphenation w:val="true"/>
  <w:hyphenationZone w:val="360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Tahoma"/>
        <w:szCs w:val="22"/>
        <w:lang w:val="ru-RU" w:eastAsia="en-US" w:bidi="ar-SA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overflowPunct w:val="false"/>
      <w:bidi w:val="0"/>
      <w:spacing w:lineRule="auto" w:line="276" w:before="0" w:after="200"/>
      <w:jc w:val="left"/>
    </w:pPr>
    <w:rPr>
      <w:rFonts w:ascii="Calibri" w:hAnsi="Calibri" w:eastAsia="Calibri" w:cs="Tahoma"/>
      <w:color w:val="auto"/>
      <w:kern w:val="0"/>
      <w:sz w:val="22"/>
      <w:szCs w:val="22"/>
      <w:lang w:val="ru-RU" w:eastAsia="en-US" w:bidi="ar-SA"/>
    </w:rPr>
  </w:style>
  <w:style w:type="paragraph" w:styleId="Heading5">
    <w:name w:val="heading 5"/>
    <w:basedOn w:val="Normal"/>
    <w:qFormat/>
    <w:pPr>
      <w:keepNext w:val="true"/>
      <w:spacing w:lineRule="auto" w:line="240" w:before="0" w:after="0"/>
      <w:ind w:hanging="0" w:left="1531" w:right="0"/>
      <w:jc w:val="center"/>
      <w:outlineLvl w:val="4"/>
    </w:pPr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DefaultParagraphFont">
    <w:name w:val="Default Paragraph Font"/>
    <w:qFormat/>
    <w:rPr/>
  </w:style>
  <w:style w:type="character" w:styleId="5">
    <w:name w:val="Заголовок 5 Знак"/>
    <w:basedOn w:val="DefaultParagraphFont"/>
    <w:qFormat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Style13">
    <w:name w:val="Основной текст Знак"/>
    <w:basedOn w:val="DefaultParagraphFont"/>
    <w:qFormat/>
    <w:rPr>
      <w:rFonts w:ascii="Times New Roman" w:hAnsi="Times New Roman" w:eastAsia="Times New Roman" w:cs="Times New Roman"/>
      <w:sz w:val="24"/>
      <w:szCs w:val="24"/>
      <w:lang w:val="x-none" w:eastAsia="x-none"/>
    </w:rPr>
  </w:style>
  <w:style w:type="character" w:styleId="HTML">
    <w:name w:val="Стандартный HTML Знак"/>
    <w:basedOn w:val="DefaultParagraphFont"/>
    <w:qFormat/>
    <w:rPr>
      <w:rFonts w:ascii="Courier New" w:hAnsi="Courier New" w:eastAsia="Times New Roman" w:cs="Courier New"/>
      <w:sz w:val="20"/>
      <w:szCs w:val="20"/>
      <w:lang w:eastAsia="ru-RU"/>
    </w:rPr>
  </w:style>
  <w:style w:type="character" w:styleId="2">
    <w:name w:val="Основной текст 2 Знак"/>
    <w:basedOn w:val="DefaultParagraphFont"/>
    <w:qFormat/>
    <w:rPr/>
  </w:style>
  <w:style w:type="character" w:styleId="ConsPlusNormal">
    <w:name w:val="ConsPlusNormal Знак"/>
    <w:qFormat/>
    <w:rPr>
      <w:rFonts w:ascii="Arial" w:hAnsi="Arial" w:eastAsia="Times New Roman" w:cs="Arial"/>
      <w:sz w:val="20"/>
      <w:szCs w:val="20"/>
      <w:lang w:eastAsia="ru-RU"/>
    </w:rPr>
  </w:style>
  <w:style w:type="character" w:styleId="Hyperlink">
    <w:name w:val="Hyperlink"/>
    <w:qFormat/>
    <w:rPr>
      <w:color w:val="000080"/>
      <w:u w:val="single"/>
    </w:rPr>
  </w:style>
  <w:style w:type="character" w:styleId="1">
    <w:name w:val="Верхний колонтитул Знак1"/>
    <w:basedOn w:val="DefaultParagraphFont"/>
    <w:qFormat/>
    <w:rPr/>
  </w:style>
  <w:style w:type="character" w:styleId="Style14">
    <w:name w:val="Верхний колонтитул Знак"/>
    <w:basedOn w:val="DefaultParagraphFont"/>
    <w:qFormat/>
    <w:rPr/>
  </w:style>
  <w:style w:type="character" w:styleId="Style15">
    <w:name w:val="Нижний колонтитул Знак"/>
    <w:basedOn w:val="DefaultParagraphFont"/>
    <w:qFormat/>
    <w:rPr/>
  </w:style>
  <w:style w:type="character" w:styleId="Style16">
    <w:name w:val="Текст выноски Знак"/>
    <w:basedOn w:val="DefaultParagraphFont"/>
    <w:qFormat/>
    <w:rPr>
      <w:rFonts w:ascii="Tahoma" w:hAnsi="Tahoma" w:cs="Tahoma"/>
      <w:sz w:val="16"/>
      <w:szCs w:val="16"/>
    </w:rPr>
  </w:style>
  <w:style w:type="character" w:styleId="Style17">
    <w:name w:val="Текст сноски Знак"/>
    <w:basedOn w:val="DefaultParagraphFont"/>
    <w:qFormat/>
    <w:rPr>
      <w:rFonts w:ascii="Arial Unicode MS" w:hAnsi="Arial Unicode MS" w:eastAsia="Arial Unicode MS" w:cs="Arial Unicode MS"/>
      <w:color w:val="000000"/>
      <w:sz w:val="20"/>
      <w:szCs w:val="20"/>
      <w:lang w:val="ru-RU" w:eastAsia="ru-RU"/>
    </w:rPr>
  </w:style>
  <w:style w:type="character" w:styleId="user">
    <w:name w:val="Символ сноски (user)"/>
    <w:qFormat/>
    <w:rPr>
      <w:vertAlign w:val="superscript"/>
    </w:rPr>
  </w:style>
  <w:style w:type="character" w:styleId="Style18">
    <w:name w:val="Символ сноски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FootnoteCharacters">
    <w:name w:val="Footnote Characters"/>
    <w:qFormat/>
    <w:rPr>
      <w:vertAlign w:val="superscript"/>
    </w:rPr>
  </w:style>
  <w:style w:type="character" w:styleId="FollowedHyperlink">
    <w:name w:val="FollowedHyperlink"/>
    <w:basedOn w:val="DefaultParagraphFont"/>
    <w:qFormat/>
    <w:rPr>
      <w:color w:val="800080"/>
      <w:u w:val="single"/>
    </w:rPr>
  </w:style>
  <w:style w:type="character" w:styleId="Style19">
    <w:name w:val="Символ нумерации"/>
    <w:qFormat/>
    <w:rPr/>
  </w:style>
  <w:style w:type="character" w:styleId="FontStyle19">
    <w:name w:val="Font Style19"/>
    <w:basedOn w:val="DefaultParagraphFont"/>
    <w:qFormat/>
    <w:rPr>
      <w:rFonts w:ascii="Times New Roman" w:hAnsi="Times New Roman" w:cs="Times New Roman"/>
      <w:b/>
      <w:bCs/>
      <w:sz w:val="22"/>
      <w:szCs w:val="22"/>
    </w:rPr>
  </w:style>
  <w:style w:type="paragraph" w:styleId="Style20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Noto Sans Devanagari"/>
      <w:sz w:val="28"/>
      <w:szCs w:val="28"/>
    </w:rPr>
  </w:style>
  <w:style w:type="paragraph" w:styleId="BodyText">
    <w:name w:val="Body Text"/>
    <w:basedOn w:val="Normal"/>
    <w:pPr>
      <w:spacing w:lineRule="auto" w:line="240" w:before="0" w:after="0"/>
      <w:jc w:val="both"/>
    </w:pPr>
    <w:rPr>
      <w:rFonts w:ascii="Times New Roman" w:hAnsi="Times New Roman" w:eastAsia="Times New Roman" w:cs="Times New Roman"/>
      <w:sz w:val="24"/>
      <w:szCs w:val="24"/>
      <w:lang w:val="x-none" w:eastAsia="x-none"/>
    </w:rPr>
  </w:style>
  <w:style w:type="paragraph" w:styleId="List">
    <w:name w:val="List"/>
    <w:basedOn w:val="BodyText"/>
    <w:pPr/>
    <w:rPr>
      <w:rFonts w:cs="Noto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Style21">
    <w:name w:val="Указатель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user1">
    <w:name w:val="Заголовок (user)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Noto Sans CJK SC" w:cs="FreeSans"/>
      <w:sz w:val="28"/>
      <w:szCs w:val="28"/>
    </w:rPr>
  </w:style>
  <w:style w:type="paragraph" w:styleId="user2">
    <w:name w:val="Указатель (user)"/>
    <w:basedOn w:val="Normal"/>
    <w:qFormat/>
    <w:pPr>
      <w:suppressLineNumbers/>
    </w:pPr>
    <w:rPr>
      <w:rFonts w:ascii="PT Astra Serif" w:hAnsi="PT Astra Serif" w:cs="FreeSans"/>
    </w:rPr>
  </w:style>
  <w:style w:type="paragraph" w:styleId="IndexHeading">
    <w:name w:val="index heading"/>
    <w:basedOn w:val="Normal"/>
    <w:qFormat/>
    <w:pPr>
      <w:suppressLineNumbers/>
    </w:pPr>
    <w:rPr>
      <w:rFonts w:cs="Noto Sans Devanagari"/>
    </w:rPr>
  </w:style>
  <w:style w:type="paragraph" w:styleId="ListParagraph">
    <w:name w:val="List Paragraph"/>
    <w:basedOn w:val="Normal"/>
    <w:qFormat/>
    <w:pPr>
      <w:spacing w:before="0" w:after="200"/>
      <w:ind w:hanging="0" w:left="720" w:right="0"/>
      <w:contextualSpacing/>
    </w:pPr>
    <w:rPr/>
  </w:style>
  <w:style w:type="paragraph" w:styleId="HTMLPreformatted">
    <w:name w:val="HTML Preformatted"/>
    <w:basedOn w:val="Normal"/>
    <w:qFormat/>
    <w:pPr>
      <w:tabs>
        <w:tab w:val="clear" w:pos="408"/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  <w:spacing w:lineRule="auto" w:line="240" w:before="0" w:after="0"/>
    </w:pPr>
    <w:rPr>
      <w:rFonts w:ascii="Courier New" w:hAnsi="Courier New" w:eastAsia="Times New Roman" w:cs="Courier New"/>
      <w:sz w:val="20"/>
      <w:szCs w:val="20"/>
      <w:lang w:eastAsia="ru-RU"/>
    </w:rPr>
  </w:style>
  <w:style w:type="paragraph" w:styleId="BodyText2">
    <w:name w:val="Body Text 2"/>
    <w:basedOn w:val="Normal"/>
    <w:qFormat/>
    <w:pPr>
      <w:spacing w:lineRule="auto" w:line="480" w:before="0" w:after="120"/>
    </w:pPr>
    <w:rPr/>
  </w:style>
  <w:style w:type="paragraph" w:styleId="ConsPlusNormal1">
    <w:name w:val="ConsPlusNormal"/>
    <w:qFormat/>
    <w:pPr>
      <w:widowControl w:val="false"/>
      <w:suppressAutoHyphens w:val="true"/>
      <w:overflowPunct w:val="false"/>
      <w:bidi w:val="0"/>
      <w:spacing w:before="0" w:after="0"/>
      <w:ind w:firstLine="720" w:left="0" w:right="0"/>
      <w:jc w:val="left"/>
    </w:pPr>
    <w:rPr>
      <w:rFonts w:ascii="Arial" w:hAnsi="Arial" w:eastAsia="Times New Roman" w:cs="Arial"/>
      <w:color w:val="auto"/>
      <w:kern w:val="0"/>
      <w:sz w:val="22"/>
      <w:szCs w:val="20"/>
      <w:lang w:val="ru-RU" w:eastAsia="ru-RU" w:bidi="ar-SA"/>
    </w:rPr>
  </w:style>
  <w:style w:type="paragraph" w:styleId="NoSpacing">
    <w:name w:val="No Spacing"/>
    <w:qFormat/>
    <w:pPr>
      <w:widowControl/>
      <w:suppressAutoHyphens w:val="true"/>
      <w:overflowPunct w:val="false"/>
      <w:bidi w:val="0"/>
      <w:spacing w:before="0" w:after="0"/>
      <w:jc w:val="left"/>
    </w:pPr>
    <w:rPr>
      <w:rFonts w:ascii="Calibri" w:hAnsi="Calibri" w:eastAsia="Calibri" w:cs="Tahoma"/>
      <w:color w:val="auto"/>
      <w:kern w:val="0"/>
      <w:sz w:val="22"/>
      <w:szCs w:val="22"/>
      <w:lang w:val="ru-RU" w:eastAsia="en-US" w:bidi="ar-SA"/>
    </w:rPr>
  </w:style>
  <w:style w:type="paragraph" w:styleId="11">
    <w:name w:val="Верхний колонтитул1"/>
    <w:basedOn w:val="Normal"/>
    <w:qFormat/>
    <w:pPr>
      <w:tabs>
        <w:tab w:val="clear" w:pos="4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Style22">
    <w:name w:val="Верхний и нижний колонтитулы"/>
    <w:basedOn w:val="Normal"/>
    <w:qFormat/>
    <w:pPr/>
    <w:rPr/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pPr>
      <w:tabs>
        <w:tab w:val="clear" w:pos="4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Footer">
    <w:name w:val="footer"/>
    <w:basedOn w:val="Normal"/>
    <w:pPr>
      <w:tabs>
        <w:tab w:val="clear" w:pos="4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BalloonText">
    <w:name w:val="Balloon Text"/>
    <w:basedOn w:val="Normal"/>
    <w:qFormat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pPr>
      <w:spacing w:lineRule="auto" w:line="240" w:before="0" w:after="0"/>
    </w:pPr>
    <w:rPr>
      <w:rFonts w:ascii="Arial Unicode MS" w:hAnsi="Arial Unicode MS" w:eastAsia="Arial Unicode MS" w:cs="Arial Unicode MS"/>
      <w:color w:val="000000"/>
      <w:sz w:val="20"/>
      <w:szCs w:val="20"/>
      <w:lang w:val="ru-RU" w:eastAsia="ru-RU"/>
    </w:rPr>
  </w:style>
  <w:style w:type="paragraph" w:styleId="xl63">
    <w:name w:val="xl63"/>
    <w:basedOn w:val="Normal"/>
    <w:qFormat/>
    <w:pPr>
      <w:spacing w:lineRule="auto" w:line="240" w:before="280" w:after="280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xl64">
    <w:name w:val="xl64"/>
    <w:basedOn w:val="Normal"/>
    <w:qFormat/>
    <w:pPr>
      <w:spacing w:lineRule="auto" w:line="240" w:before="280" w:after="280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5">
    <w:name w:val="xl65"/>
    <w:basedOn w:val="Normal"/>
    <w:qFormat/>
    <w:pPr>
      <w:spacing w:lineRule="auto" w:line="240" w:before="280" w:after="28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6">
    <w:name w:val="xl66"/>
    <w:basedOn w:val="Normal"/>
    <w:qFormat/>
    <w:pPr>
      <w:spacing w:lineRule="auto" w:line="240" w:before="280" w:after="280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7">
    <w:name w:val="xl67"/>
    <w:basedOn w:val="Normal"/>
    <w:qFormat/>
    <w:pPr>
      <w:spacing w:lineRule="auto" w:line="240" w:before="280" w:after="280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8">
    <w:name w:val="xl68"/>
    <w:basedOn w:val="Normal"/>
    <w:qFormat/>
    <w:pP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9">
    <w:name w:val="xl69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0">
    <w:name w:val="xl70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1">
    <w:name w:val="xl71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2">
    <w:name w:val="xl72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3">
    <w:name w:val="xl73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4">
    <w:name w:val="xl74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5">
    <w:name w:val="xl75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6">
    <w:name w:val="xl76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7">
    <w:name w:val="xl77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8">
    <w:name w:val="xl78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9">
    <w:name w:val="xl79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textAlignment w:val="center"/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paragraph" w:styleId="xl80">
    <w:name w:val="xl80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paragraph" w:styleId="xl81">
    <w:name w:val="xl81"/>
    <w:basedOn w:val="Normal"/>
    <w:qFormat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2">
    <w:name w:val="xl82"/>
    <w:basedOn w:val="Normal"/>
    <w:qFormat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3">
    <w:name w:val="xl83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4">
    <w:name w:val="xl84"/>
    <w:basedOn w:val="Normal"/>
    <w:qFormat/>
    <w:pP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5">
    <w:name w:val="xl85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6">
    <w:name w:val="xl86"/>
    <w:basedOn w:val="Normal"/>
    <w:qFormat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7">
    <w:name w:val="xl87"/>
    <w:basedOn w:val="Normal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8">
    <w:name w:val="xl88"/>
    <w:basedOn w:val="Normal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9">
    <w:name w:val="xl89"/>
    <w:basedOn w:val="Normal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0">
    <w:name w:val="xl90"/>
    <w:basedOn w:val="Normal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1">
    <w:name w:val="xl91"/>
    <w:basedOn w:val="Normal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2">
    <w:name w:val="xl92"/>
    <w:basedOn w:val="Normal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3">
    <w:name w:val="xl93"/>
    <w:basedOn w:val="Normal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4">
    <w:name w:val="xl94"/>
    <w:basedOn w:val="Normal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5">
    <w:name w:val="xl95"/>
    <w:basedOn w:val="Normal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6">
    <w:name w:val="xl96"/>
    <w:basedOn w:val="Normal"/>
    <w:qFormat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7">
    <w:name w:val="xl97"/>
    <w:basedOn w:val="Normal"/>
    <w:qFormat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8">
    <w:name w:val="xl98"/>
    <w:basedOn w:val="Normal"/>
    <w:qFormat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9">
    <w:name w:val="xl99"/>
    <w:basedOn w:val="Normal"/>
    <w:qFormat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00">
    <w:name w:val="xl100"/>
    <w:basedOn w:val="Normal"/>
    <w:qFormat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01">
    <w:name w:val="xl101"/>
    <w:basedOn w:val="Normal"/>
    <w:qFormat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="280" w:after="280"/>
      <w:jc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02">
    <w:name w:val="xl102"/>
    <w:basedOn w:val="Normal"/>
    <w:qFormat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03">
    <w:name w:val="xl103"/>
    <w:basedOn w:val="Normal"/>
    <w:qFormat/>
    <w:pPr>
      <w:pBdr>
        <w:top w:val="single" w:sz="4" w:space="0" w:color="000000"/>
        <w:lef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04">
    <w:name w:val="xl104"/>
    <w:basedOn w:val="Normal"/>
    <w:qFormat/>
    <w:pPr>
      <w:pBdr>
        <w:top w:val="single" w:sz="4" w:space="0" w:color="000000"/>
        <w:left w:val="single" w:sz="8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05">
    <w:name w:val="xl105"/>
    <w:basedOn w:val="Normal"/>
    <w:qFormat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="280" w:after="280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06">
    <w:name w:val="xl106"/>
    <w:basedOn w:val="Normal"/>
    <w:qFormat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07">
    <w:name w:val="xl107"/>
    <w:basedOn w:val="Normal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textAlignment w:val="center"/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paragraph" w:styleId="xl108">
    <w:name w:val="xl108"/>
    <w:basedOn w:val="Normal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paragraph" w:styleId="xl109">
    <w:name w:val="xl109"/>
    <w:basedOn w:val="Normal"/>
    <w:qFormat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0">
    <w:name w:val="xl110"/>
    <w:basedOn w:val="Normal"/>
    <w:qFormat/>
    <w:pPr>
      <w:pBdr>
        <w:top w:val="single" w:sz="8" w:space="0" w:color="000000"/>
        <w:left w:val="single" w:sz="8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1">
    <w:name w:val="xl111"/>
    <w:basedOn w:val="Normal"/>
    <w:qFormat/>
    <w:pPr>
      <w:pBdr>
        <w:top w:val="single" w:sz="8" w:space="0" w:color="000000"/>
        <w:left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2">
    <w:name w:val="xl112"/>
    <w:basedOn w:val="Normal"/>
    <w:qFormat/>
    <w:pPr>
      <w:pBdr>
        <w:top w:val="single" w:sz="8" w:space="0" w:color="000000"/>
        <w:left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3">
    <w:name w:val="xl113"/>
    <w:basedOn w:val="Normal"/>
    <w:qFormat/>
    <w:pPr>
      <w:pBdr>
        <w:top w:val="single" w:sz="8" w:space="0" w:color="000000"/>
        <w:left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4">
    <w:name w:val="xl114"/>
    <w:basedOn w:val="Normal"/>
    <w:qFormat/>
    <w:pPr>
      <w:pBdr>
        <w:top w:val="single" w:sz="8" w:space="0" w:color="000000"/>
        <w:lef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5">
    <w:name w:val="xl115"/>
    <w:basedOn w:val="Normal"/>
    <w:qFormat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lineRule="auto" w:line="240" w:before="280" w:after="280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6">
    <w:name w:val="xl116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lineRule="auto" w:line="240" w:before="280" w:after="280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7">
    <w:name w:val="xl117"/>
    <w:basedOn w:val="Normal"/>
    <w:qFormat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lineRule="auto" w:line="240" w:before="280" w:after="28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8">
    <w:name w:val="xl118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lineRule="auto" w:line="240" w:before="280" w:after="28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9">
    <w:name w:val="xl119"/>
    <w:basedOn w:val="Normal"/>
    <w:qFormat/>
    <w:pPr>
      <w:pBdr>
        <w:top w:val="single" w:sz="4" w:space="0" w:color="000000"/>
        <w:left w:val="single" w:sz="4" w:space="0" w:color="000000"/>
        <w:right w:val="single" w:sz="8" w:space="0" w:color="000000"/>
      </w:pBdr>
      <w:spacing w:lineRule="auto" w:line="240" w:before="280" w:after="28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0">
    <w:name w:val="xl120"/>
    <w:basedOn w:val="Normal"/>
    <w:qFormat/>
    <w:pPr>
      <w:pBdr>
        <w:top w:val="single" w:sz="8" w:space="0" w:color="000000"/>
        <w:left w:val="single" w:sz="4" w:space="0" w:color="000000"/>
        <w:right w:val="single" w:sz="8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1">
    <w:name w:val="xl121"/>
    <w:basedOn w:val="Normal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2">
    <w:name w:val="xl122"/>
    <w:basedOn w:val="Normal"/>
    <w:qFormat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lineRule="auto" w:line="240" w:before="280" w:after="28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3">
    <w:name w:val="xl123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4">
    <w:name w:val="xl124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lineRule="auto" w:line="240" w:before="280" w:after="28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5">
    <w:name w:val="xl125"/>
    <w:basedOn w:val="Normal"/>
    <w:qFormat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26">
    <w:name w:val="xl126"/>
    <w:basedOn w:val="Normal"/>
    <w:qFormat/>
    <w:pPr>
      <w:pBdr>
        <w:top w:val="single" w:sz="4" w:space="0" w:color="000000"/>
        <w:left w:val="single" w:sz="4" w:space="0" w:color="000000"/>
        <w:right w:val="single" w:sz="8" w:space="0" w:color="000000"/>
      </w:pBdr>
      <w:spacing w:lineRule="auto" w:line="240" w:before="280" w:after="280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27">
    <w:name w:val="xl127"/>
    <w:basedOn w:val="Normal"/>
    <w:qFormat/>
    <w:pPr>
      <w:pBdr>
        <w:top w:val="single" w:sz="8" w:space="0" w:color="000000"/>
        <w:left w:val="single" w:sz="8" w:space="0" w:color="000000"/>
        <w:bottom w:val="single" w:sz="8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8">
    <w:name w:val="xl128"/>
    <w:basedOn w:val="Normal"/>
    <w:qFormat/>
    <w:pPr>
      <w:pBdr>
        <w:top w:val="single" w:sz="8" w:space="0" w:color="000000"/>
        <w:bottom w:val="single" w:sz="8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9">
    <w:name w:val="xl129"/>
    <w:basedOn w:val="Normal"/>
    <w:qFormat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30">
    <w:name w:val="xl130"/>
    <w:basedOn w:val="Normal"/>
    <w:qFormat/>
    <w:pPr>
      <w:pBdr>
        <w:top w:val="single" w:sz="4" w:space="0" w:color="000000"/>
        <w:left w:val="single" w:sz="8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31">
    <w:name w:val="xl131"/>
    <w:basedOn w:val="Normal"/>
    <w:qFormat/>
    <w:pPr>
      <w:pBdr>
        <w:top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32">
    <w:name w:val="xl132"/>
    <w:basedOn w:val="Normal"/>
    <w:qFormat/>
    <w:pPr>
      <w:pBdr>
        <w:top w:val="single" w:sz="8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33">
    <w:name w:val="xl133"/>
    <w:basedOn w:val="Normal"/>
    <w:qFormat/>
    <w:pPr>
      <w:spacing w:lineRule="auto" w:line="240" w:before="280" w:after="280"/>
      <w:jc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Style23">
    <w:name w:val="Содержимое таблицы"/>
    <w:basedOn w:val="Normal"/>
    <w:qFormat/>
    <w:pPr>
      <w:suppressLineNumbers/>
    </w:pPr>
    <w:rPr/>
  </w:style>
  <w:style w:type="paragraph" w:styleId="Style24">
    <w:name w:val="Заголовок таблицы"/>
    <w:basedOn w:val="Style23"/>
    <w:qFormat/>
    <w:pPr>
      <w:jc w:val="center"/>
    </w:pPr>
    <w:rPr>
      <w:b/>
      <w:bCs/>
    </w:rPr>
  </w:style>
  <w:style w:type="paragraph" w:styleId="Style25">
    <w:name w:val="Style2"/>
    <w:basedOn w:val="Normal"/>
    <w:qFormat/>
    <w:pPr>
      <w:spacing w:lineRule="exact" w:line="444"/>
      <w:ind w:firstLine="1862" w:left="0" w:right="0"/>
    </w:pPr>
    <w:rPr/>
  </w:style>
  <w:style w:type="paragraph" w:styleId="user3">
    <w:name w:val="Содержимое таблицы (user)"/>
    <w:basedOn w:val="Normal"/>
    <w:qFormat/>
    <w:pPr>
      <w:suppressLineNumbers/>
    </w:pPr>
    <w:rPr/>
  </w:style>
  <w:style w:type="numbering" w:styleId="user4">
    <w:name w:val="Без списка (user)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://ivo.garant.ru/document?id=12025505&amp;sub=159" TargetMode="External"/><Relationship Id="rId3" Type="http://schemas.openxmlformats.org/officeDocument/2006/relationships/hyperlink" Target="https://www.roseltorg.ru/" TargetMode="External"/><Relationship Id="rId4" Type="http://schemas.openxmlformats.org/officeDocument/2006/relationships/hyperlink" Target="https://www.roseltorg.ru/" TargetMode="External"/><Relationship Id="rId5" Type="http://schemas.openxmlformats.org/officeDocument/2006/relationships/hyperlink" Target="https://www.roseltorg.ru/" TargetMode="External"/><Relationship Id="rId6" Type="http://schemas.openxmlformats.org/officeDocument/2006/relationships/hyperlink" Target="https://www.roseltorg.ru/" TargetMode="External"/><Relationship Id="rId7" Type="http://schemas.openxmlformats.org/officeDocument/2006/relationships/hyperlink" Target="https://www.roseltorg.ru/" TargetMode="External"/><Relationship Id="rId8" Type="http://schemas.openxmlformats.org/officeDocument/2006/relationships/hyperlink" Target="https://www.roseltorg.ru/" TargetMode="External"/><Relationship Id="rId9" Type="http://schemas.openxmlformats.org/officeDocument/2006/relationships/hyperlink" Target="consultantplus://offline/ref=8608A915A77589369BD2B7F347595D5ABC538B22E06FA735FD52FF4C23570EP" TargetMode="External"/><Relationship Id="rId10" Type="http://schemas.openxmlformats.org/officeDocument/2006/relationships/hyperlink" Target="consultantplus://offline/ref=8886142B30A1ED25946F3605BFB8077666AA29F7575C6D2C2FD59D8142AD0511DD20E07C6D1DA4B9D5ZBG" TargetMode="External"/><Relationship Id="rId11" Type="http://schemas.openxmlformats.org/officeDocument/2006/relationships/hyperlink" Target="http://www.torgi.gov.ru/" TargetMode="External"/><Relationship Id="rId12" Type="http://schemas.openxmlformats.org/officeDocument/2006/relationships/hyperlink" Target="http://www.roseltorg.ru/" TargetMode="External"/><Relationship Id="rId13" Type="http://schemas.openxmlformats.org/officeDocument/2006/relationships/numbering" Target="numbering.xml"/><Relationship Id="rId14" Type="http://schemas.openxmlformats.org/officeDocument/2006/relationships/fontTable" Target="fontTable.xml"/><Relationship Id="rId15" Type="http://schemas.openxmlformats.org/officeDocument/2006/relationships/settings" Target="settings.xml"/><Relationship Id="rId1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766</TotalTime>
  <Application>LibreOffice/25.2.3.2$Linux_X86_64 LibreOffice_project/520$Build-2</Application>
  <AppVersion>15.0000</AppVersion>
  <Pages>9</Pages>
  <Words>2468</Words>
  <Characters>18813</Characters>
  <CharactersWithSpaces>22413</CharactersWithSpaces>
  <Paragraphs>254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2020-10-24T03:17:00Z</dcterms:created>
  <dc:creator>Лукьянов Алексей Анатольевич</dc:creator>
  <dc:description/>
  <dc:language>ru-RU</dc:language>
  <cp:lastModifiedBy/>
  <cp:lastPrinted>2022-10-17T11:35:30Z</cp:lastPrinted>
  <dcterms:modified xsi:type="dcterms:W3CDTF">2026-06-25T16:23:59Z</dcterms:modified>
  <cp:revision>78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